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59F2" w14:textId="77777777" w:rsidR="0051400E" w:rsidRDefault="00000000">
      <w:pPr>
        <w:pStyle w:val="1"/>
        <w:spacing w:beforeLines="100" w:before="312" w:afterLines="50" w:after="156" w:line="36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中国科学院青岛生物能源与过程研究所耐50Mpa（等静压）钛合金舱体委托加工</w:t>
      </w:r>
    </w:p>
    <w:p w14:paraId="4991CB1A" w14:textId="77777777" w:rsidR="0051400E" w:rsidRDefault="00000000">
      <w:pPr>
        <w:pStyle w:val="1"/>
        <w:spacing w:beforeLines="100" w:before="312" w:afterLines="50" w:after="156" w:line="36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hint="eastAsia"/>
          <w:sz w:val="32"/>
          <w:szCs w:val="32"/>
        </w:rPr>
        <w:t>竞争性磋商</w:t>
      </w:r>
      <w:r>
        <w:rPr>
          <w:rFonts w:ascii="宋体" w:hAnsi="宋体" w:hint="eastAsia"/>
          <w:sz w:val="32"/>
          <w:szCs w:val="32"/>
        </w:rPr>
        <w:t>文件</w:t>
      </w:r>
    </w:p>
    <w:p w14:paraId="7929809B" w14:textId="77777777" w:rsidR="0051400E" w:rsidRDefault="00000000">
      <w:pPr>
        <w:pStyle w:val="1"/>
        <w:spacing w:beforeLines="100" w:before="312" w:afterLines="50" w:after="156" w:line="360" w:lineRule="auto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24"/>
          <w:szCs w:val="24"/>
        </w:rPr>
        <w:t>（单位内部文件）</w:t>
      </w:r>
    </w:p>
    <w:p w14:paraId="4837A42F" w14:textId="77777777" w:rsidR="0051400E" w:rsidRDefault="00000000">
      <w:pPr>
        <w:pStyle w:val="2"/>
        <w:spacing w:beforeLines="50" w:before="156" w:afterLines="50" w:after="156" w:line="360" w:lineRule="auto"/>
        <w:rPr>
          <w:rFonts w:ascii="宋体" w:eastAsia="宋体" w:hAnsi="宋体" w:hint="eastAsia"/>
          <w:sz w:val="24"/>
          <w:szCs w:val="24"/>
        </w:rPr>
      </w:pPr>
      <w:bookmarkStart w:id="0" w:name="_Toc486842348"/>
      <w:bookmarkStart w:id="1" w:name="_Toc160245107"/>
      <w:r>
        <w:rPr>
          <w:rFonts w:ascii="宋体" w:eastAsia="宋体" w:hAnsi="宋体" w:hint="eastAsia"/>
          <w:sz w:val="24"/>
          <w:szCs w:val="24"/>
        </w:rPr>
        <w:t>一、说明</w:t>
      </w:r>
      <w:bookmarkEnd w:id="0"/>
      <w:bookmarkEnd w:id="1"/>
    </w:p>
    <w:p w14:paraId="19A26BE1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1、本部分内容是根据本项目的实际情况制定的。</w:t>
      </w:r>
    </w:p>
    <w:p w14:paraId="07115130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竞磋人必须仔细阅读本采购文件的全部条文。对于文件中存在的任何含糊、遗漏、相互矛盾之处，或是对于竞争性磋商范围的界定和内容的要求不清楚，认为存在歧视、限制的情况，竞磋人应向采购人寻求书面澄清。</w:t>
      </w:r>
    </w:p>
    <w:p w14:paraId="3E6445A0" w14:textId="7D19F404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3、本技术部分如果涉及到品牌、型号等，</w:t>
      </w:r>
      <w:bookmarkStart w:id="2" w:name="OLE_LINK2"/>
      <w:r>
        <w:rPr>
          <w:rFonts w:ascii="宋体" w:hAnsi="宋体" w:hint="eastAsia"/>
          <w:sz w:val="24"/>
          <w:szCs w:val="24"/>
        </w:rPr>
        <w:t>并不表明该</w:t>
      </w:r>
      <w:r w:rsidR="007415DD">
        <w:rPr>
          <w:rFonts w:ascii="宋体" w:hAnsi="宋体" w:hint="eastAsia"/>
          <w:sz w:val="24"/>
          <w:szCs w:val="24"/>
        </w:rPr>
        <w:t>采购</w:t>
      </w:r>
      <w:r>
        <w:rPr>
          <w:rFonts w:ascii="宋体" w:hAnsi="宋体" w:hint="eastAsia"/>
          <w:sz w:val="24"/>
          <w:szCs w:val="24"/>
        </w:rPr>
        <w:t>被指定</w:t>
      </w:r>
      <w:bookmarkEnd w:id="2"/>
      <w:r>
        <w:rPr>
          <w:rFonts w:ascii="宋体" w:hAnsi="宋体" w:hint="eastAsia"/>
          <w:sz w:val="24"/>
          <w:szCs w:val="24"/>
        </w:rPr>
        <w:t>，而是仅供竞磋人参考，竞磋人所投报的货物只要性能、质量达到或超过都将被视为对竞磋文件作出了实质性的响应。</w:t>
      </w:r>
    </w:p>
    <w:p w14:paraId="27CFE4E4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4．竞磋完毕，采购人根据需要可能进行货物内容的增加或减少，或者分批签定合同，但合同总额浮动范围不超过预算额的（+/-）10%。</w:t>
      </w:r>
    </w:p>
    <w:p w14:paraId="6D8CC987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>
        <w:rPr>
          <w:rFonts w:ascii="Bookman Old Style" w:hAnsi="Bookman Old Style" w:hint="eastAsia"/>
          <w:sz w:val="24"/>
          <w:szCs w:val="24"/>
        </w:rPr>
        <w:t>采购方将采用综合打分法进行评审。评审因素包括：产品价格、产品质量性</w:t>
      </w:r>
      <w:r>
        <w:rPr>
          <w:rFonts w:ascii="宋体" w:hAnsi="宋体" w:hint="eastAsia"/>
          <w:sz w:val="24"/>
          <w:szCs w:val="24"/>
        </w:rPr>
        <w:t>能、企业资质和产品销售业绩、售后服务及交货时间。</w:t>
      </w:r>
    </w:p>
    <w:p w14:paraId="4D1C43EB" w14:textId="06EA0600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其中价格分统一采用低价优先法计算，即满足采购文件要求且采购预算价格最低的竞磋报价为评审基准价，其价格分为满分。其他竞磋人的价格分统一按照下列公式计算：</w:t>
      </w:r>
      <w:r>
        <w:rPr>
          <w:rFonts w:ascii="宋体" w:hAnsi="宋体" w:hint="eastAsia"/>
          <w:bCs/>
          <w:sz w:val="24"/>
          <w:szCs w:val="24"/>
        </w:rPr>
        <w:t>竞磋</w:t>
      </w:r>
      <w:r>
        <w:rPr>
          <w:rFonts w:ascii="宋体" w:hAnsi="宋体" w:hint="eastAsia"/>
          <w:sz w:val="24"/>
          <w:szCs w:val="24"/>
        </w:rPr>
        <w:t>报价得分=（</w:t>
      </w:r>
      <w:r w:rsidR="00A34E88">
        <w:rPr>
          <w:rFonts w:ascii="宋体" w:hAnsi="宋体" w:hint="eastAsia"/>
          <w:bCs/>
          <w:sz w:val="24"/>
          <w:szCs w:val="24"/>
        </w:rPr>
        <w:t>竞磋</w:t>
      </w:r>
      <w:r>
        <w:rPr>
          <w:rFonts w:ascii="宋体" w:hAnsi="宋体" w:hint="eastAsia"/>
          <w:sz w:val="24"/>
          <w:szCs w:val="24"/>
        </w:rPr>
        <w:t>基准价/</w:t>
      </w:r>
      <w:r>
        <w:rPr>
          <w:rFonts w:ascii="宋体" w:hAnsi="宋体" w:hint="eastAsia"/>
          <w:bCs/>
          <w:sz w:val="24"/>
          <w:szCs w:val="24"/>
        </w:rPr>
        <w:t>竞磋</w:t>
      </w:r>
      <w:r>
        <w:rPr>
          <w:rFonts w:ascii="宋体" w:hAnsi="宋体" w:hint="eastAsia"/>
          <w:sz w:val="24"/>
          <w:szCs w:val="24"/>
        </w:rPr>
        <w:t>报价）x 40；</w:t>
      </w:r>
    </w:p>
    <w:p w14:paraId="50665C39" w14:textId="0CFE0F4E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6、竞磋人应提供竞磋产品的详细技术资料，和企业简介、资质和荣誉等材料。</w:t>
      </w:r>
    </w:p>
    <w:p w14:paraId="01ECC5FC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7、采购程序：</w:t>
      </w:r>
    </w:p>
    <w:p w14:paraId="73740EC3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</w:t>
      </w:r>
      <w:r>
        <w:rPr>
          <w:rFonts w:ascii="宋体" w:hAnsi="宋体" w:hint="eastAsia"/>
          <w:bCs/>
          <w:sz w:val="24"/>
          <w:szCs w:val="24"/>
        </w:rPr>
        <w:t>竞磋</w:t>
      </w:r>
      <w:r>
        <w:rPr>
          <w:rFonts w:ascii="宋体" w:hAnsi="宋体" w:hint="eastAsia"/>
          <w:sz w:val="24"/>
          <w:szCs w:val="24"/>
        </w:rPr>
        <w:t>方提交竞磋响应文件（密封，正本一套；副本二套；电子版一套）</w:t>
      </w:r>
    </w:p>
    <w:p w14:paraId="46675437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2）所内专家评审</w:t>
      </w:r>
    </w:p>
    <w:p w14:paraId="051698D4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3）根据评审结果发布成交公告</w:t>
      </w:r>
    </w:p>
    <w:p w14:paraId="4EF19E22" w14:textId="05B507EF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8、采购方认定竞磋过程存在恶意</w:t>
      </w:r>
      <w:r w:rsidR="007415DD">
        <w:rPr>
          <w:rFonts w:ascii="宋体" w:hAnsi="宋体" w:hint="eastAsia"/>
          <w:sz w:val="24"/>
          <w:szCs w:val="24"/>
        </w:rPr>
        <w:t>竞价</w:t>
      </w:r>
      <w:r>
        <w:rPr>
          <w:rFonts w:ascii="宋体" w:hAnsi="宋体" w:hint="eastAsia"/>
          <w:sz w:val="24"/>
          <w:szCs w:val="24"/>
        </w:rPr>
        <w:t>或其他影响采购顺利进行的行为时有权废止重新组织。</w:t>
      </w:r>
    </w:p>
    <w:p w14:paraId="264C6322" w14:textId="77777777" w:rsidR="0051400E" w:rsidRDefault="0051400E">
      <w:pPr>
        <w:tabs>
          <w:tab w:val="left" w:pos="720"/>
          <w:tab w:val="left" w:pos="1320"/>
        </w:tabs>
        <w:jc w:val="center"/>
        <w:rPr>
          <w:rFonts w:ascii="Bookman Old Style" w:hAnsi="Bookman Old Style"/>
          <w:szCs w:val="24"/>
        </w:rPr>
      </w:pPr>
    </w:p>
    <w:p w14:paraId="5B83CE97" w14:textId="77777777" w:rsidR="0051400E" w:rsidRDefault="00000000">
      <w:pPr>
        <w:widowControl w:val="0"/>
        <w:adjustRightInd w:val="0"/>
        <w:spacing w:line="360" w:lineRule="auto"/>
        <w:textAlignment w:val="baseline"/>
        <w:rPr>
          <w:rFonts w:ascii="宋体"/>
          <w:sz w:val="24"/>
          <w:szCs w:val="21"/>
        </w:rPr>
      </w:pPr>
      <w:r>
        <w:rPr>
          <w:rFonts w:hint="eastAsia"/>
          <w:sz w:val="24"/>
          <w:szCs w:val="21"/>
        </w:rPr>
        <w:t>9</w:t>
      </w:r>
      <w:r>
        <w:rPr>
          <w:rFonts w:hint="eastAsia"/>
          <w:sz w:val="24"/>
          <w:szCs w:val="21"/>
        </w:rPr>
        <w:t>、</w:t>
      </w:r>
      <w:r>
        <w:rPr>
          <w:rFonts w:ascii="宋体" w:hint="eastAsia"/>
          <w:sz w:val="24"/>
          <w:szCs w:val="21"/>
        </w:rPr>
        <w:t>具体打分标准</w:t>
      </w:r>
    </w:p>
    <w:p w14:paraId="6A995C62" w14:textId="77777777" w:rsidR="0051400E" w:rsidRDefault="00000000">
      <w:pPr>
        <w:widowControl w:val="0"/>
        <w:adjustRightInd w:val="0"/>
        <w:spacing w:line="360" w:lineRule="auto"/>
        <w:textAlignment w:val="baseline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注：*表示关键性指标，＃表示重要性指标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417"/>
        <w:gridCol w:w="1134"/>
      </w:tblGrid>
      <w:tr w:rsidR="0051400E" w14:paraId="0F6DBEB6" w14:textId="77777777">
        <w:tc>
          <w:tcPr>
            <w:tcW w:w="7621" w:type="dxa"/>
            <w:gridSpan w:val="2"/>
            <w:shd w:val="clear" w:color="auto" w:fill="auto"/>
          </w:tcPr>
          <w:p w14:paraId="1879FA2A" w14:textId="77777777" w:rsidR="0051400E" w:rsidRDefault="00000000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竞争性磋商人</w:t>
            </w:r>
          </w:p>
        </w:tc>
        <w:tc>
          <w:tcPr>
            <w:tcW w:w="1134" w:type="dxa"/>
            <w:shd w:val="clear" w:color="auto" w:fill="auto"/>
          </w:tcPr>
          <w:p w14:paraId="1A7ED994" w14:textId="77777777" w:rsidR="0051400E" w:rsidRDefault="0051400E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6B7BA1B9" w14:textId="77777777">
        <w:tc>
          <w:tcPr>
            <w:tcW w:w="7621" w:type="dxa"/>
            <w:gridSpan w:val="2"/>
            <w:shd w:val="clear" w:color="auto" w:fill="auto"/>
          </w:tcPr>
          <w:p w14:paraId="003A0B96" w14:textId="77777777" w:rsidR="0051400E" w:rsidRDefault="00000000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制造商</w:t>
            </w:r>
          </w:p>
        </w:tc>
        <w:tc>
          <w:tcPr>
            <w:tcW w:w="1134" w:type="dxa"/>
            <w:shd w:val="clear" w:color="auto" w:fill="auto"/>
          </w:tcPr>
          <w:p w14:paraId="4DDB2733" w14:textId="77777777" w:rsidR="0051400E" w:rsidRDefault="0051400E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2154C933" w14:textId="77777777">
        <w:tc>
          <w:tcPr>
            <w:tcW w:w="6204" w:type="dxa"/>
            <w:shd w:val="clear" w:color="auto" w:fill="auto"/>
          </w:tcPr>
          <w:p w14:paraId="00F82867" w14:textId="77777777" w:rsidR="0051400E" w:rsidRDefault="00000000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采购文件要求</w:t>
            </w:r>
          </w:p>
        </w:tc>
        <w:tc>
          <w:tcPr>
            <w:tcW w:w="1417" w:type="dxa"/>
            <w:shd w:val="clear" w:color="auto" w:fill="auto"/>
          </w:tcPr>
          <w:p w14:paraId="4B32A400" w14:textId="77777777" w:rsidR="0051400E" w:rsidRDefault="00000000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分值</w:t>
            </w:r>
          </w:p>
        </w:tc>
        <w:tc>
          <w:tcPr>
            <w:tcW w:w="1134" w:type="dxa"/>
            <w:shd w:val="clear" w:color="auto" w:fill="auto"/>
          </w:tcPr>
          <w:p w14:paraId="70CA70C2" w14:textId="77777777" w:rsidR="0051400E" w:rsidRDefault="00000000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得分</w:t>
            </w:r>
          </w:p>
        </w:tc>
      </w:tr>
      <w:tr w:rsidR="0051400E" w14:paraId="34DD1243" w14:textId="77777777">
        <w:tc>
          <w:tcPr>
            <w:tcW w:w="6204" w:type="dxa"/>
            <w:shd w:val="clear" w:color="auto" w:fill="auto"/>
          </w:tcPr>
          <w:p w14:paraId="4CB773C8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一、技术性能</w:t>
            </w:r>
          </w:p>
        </w:tc>
        <w:tc>
          <w:tcPr>
            <w:tcW w:w="1417" w:type="dxa"/>
            <w:shd w:val="clear" w:color="auto" w:fill="auto"/>
          </w:tcPr>
          <w:p w14:paraId="34E199B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满分30分</w:t>
            </w:r>
          </w:p>
        </w:tc>
        <w:tc>
          <w:tcPr>
            <w:tcW w:w="1134" w:type="dxa"/>
            <w:shd w:val="clear" w:color="auto" w:fill="auto"/>
          </w:tcPr>
          <w:p w14:paraId="4DD30E6C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06CB7631" w14:textId="77777777">
        <w:tc>
          <w:tcPr>
            <w:tcW w:w="6204" w:type="dxa"/>
            <w:shd w:val="clear" w:color="auto" w:fill="auto"/>
          </w:tcPr>
          <w:p w14:paraId="201263B1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品质优良（满足所有“*”号指标，且“#”号指标优于采购参数）</w:t>
            </w:r>
          </w:p>
        </w:tc>
        <w:tc>
          <w:tcPr>
            <w:tcW w:w="1417" w:type="dxa"/>
            <w:shd w:val="clear" w:color="auto" w:fill="auto"/>
          </w:tcPr>
          <w:p w14:paraId="7C873E7C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26-30分</w:t>
            </w:r>
          </w:p>
        </w:tc>
        <w:tc>
          <w:tcPr>
            <w:tcW w:w="1134" w:type="dxa"/>
            <w:shd w:val="clear" w:color="auto" w:fill="auto"/>
          </w:tcPr>
          <w:p w14:paraId="6B751C4C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1DCDFF98" w14:textId="77777777">
        <w:tc>
          <w:tcPr>
            <w:tcW w:w="6204" w:type="dxa"/>
            <w:shd w:val="clear" w:color="auto" w:fill="auto"/>
          </w:tcPr>
          <w:p w14:paraId="4681DC8A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品质良好（满足所有“*”号指标，且“#”号指标符合采购参数）</w:t>
            </w:r>
          </w:p>
        </w:tc>
        <w:tc>
          <w:tcPr>
            <w:tcW w:w="1417" w:type="dxa"/>
            <w:shd w:val="clear" w:color="auto" w:fill="auto"/>
          </w:tcPr>
          <w:p w14:paraId="7EF67072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21-25分</w:t>
            </w:r>
          </w:p>
        </w:tc>
        <w:tc>
          <w:tcPr>
            <w:tcW w:w="1134" w:type="dxa"/>
            <w:shd w:val="clear" w:color="auto" w:fill="auto"/>
          </w:tcPr>
          <w:p w14:paraId="4F44CF35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6A4D52BF" w14:textId="77777777">
        <w:tc>
          <w:tcPr>
            <w:tcW w:w="6204" w:type="dxa"/>
            <w:shd w:val="clear" w:color="auto" w:fill="auto"/>
          </w:tcPr>
          <w:p w14:paraId="02D32DCF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基本合格</w:t>
            </w:r>
          </w:p>
        </w:tc>
        <w:tc>
          <w:tcPr>
            <w:tcW w:w="1417" w:type="dxa"/>
            <w:shd w:val="clear" w:color="auto" w:fill="auto"/>
          </w:tcPr>
          <w:p w14:paraId="7A910B87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18分</w:t>
            </w:r>
          </w:p>
        </w:tc>
        <w:tc>
          <w:tcPr>
            <w:tcW w:w="1134" w:type="dxa"/>
            <w:shd w:val="clear" w:color="auto" w:fill="auto"/>
          </w:tcPr>
          <w:p w14:paraId="29743621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1A18E321" w14:textId="77777777">
        <w:tc>
          <w:tcPr>
            <w:tcW w:w="6204" w:type="dxa"/>
            <w:shd w:val="clear" w:color="auto" w:fill="auto"/>
          </w:tcPr>
          <w:p w14:paraId="336C6385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带*条款负偏离</w:t>
            </w:r>
          </w:p>
        </w:tc>
        <w:tc>
          <w:tcPr>
            <w:tcW w:w="1417" w:type="dxa"/>
            <w:shd w:val="clear" w:color="auto" w:fill="auto"/>
          </w:tcPr>
          <w:p w14:paraId="6032C200" w14:textId="3C06C790" w:rsidR="0051400E" w:rsidRDefault="007415DD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竞磋</w:t>
            </w:r>
            <w:r w:rsidR="00A34E88">
              <w:rPr>
                <w:rFonts w:ascii="宋体" w:hint="eastAsia"/>
                <w:sz w:val="24"/>
                <w:szCs w:val="21"/>
              </w:rPr>
              <w:t>作废</w:t>
            </w:r>
          </w:p>
        </w:tc>
        <w:tc>
          <w:tcPr>
            <w:tcW w:w="1134" w:type="dxa"/>
            <w:shd w:val="clear" w:color="auto" w:fill="auto"/>
          </w:tcPr>
          <w:p w14:paraId="16496E4B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40F4B905" w14:textId="77777777">
        <w:tc>
          <w:tcPr>
            <w:tcW w:w="6204" w:type="dxa"/>
            <w:shd w:val="clear" w:color="auto" w:fill="auto"/>
          </w:tcPr>
          <w:p w14:paraId="47CE1F16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没有原厂服务</w:t>
            </w:r>
          </w:p>
        </w:tc>
        <w:tc>
          <w:tcPr>
            <w:tcW w:w="1417" w:type="dxa"/>
            <w:shd w:val="clear" w:color="auto" w:fill="auto"/>
          </w:tcPr>
          <w:p w14:paraId="498B6E60" w14:textId="2C1216C4" w:rsidR="0051400E" w:rsidRDefault="007415DD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竞磋</w:t>
            </w:r>
            <w:r w:rsidR="00A34E88">
              <w:rPr>
                <w:rFonts w:ascii="宋体" w:hint="eastAsia"/>
                <w:sz w:val="24"/>
                <w:szCs w:val="21"/>
              </w:rPr>
              <w:t>作废</w:t>
            </w:r>
          </w:p>
        </w:tc>
        <w:tc>
          <w:tcPr>
            <w:tcW w:w="1134" w:type="dxa"/>
            <w:shd w:val="clear" w:color="auto" w:fill="auto"/>
          </w:tcPr>
          <w:p w14:paraId="05163B7C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6645E079" w14:textId="77777777">
        <w:tc>
          <w:tcPr>
            <w:tcW w:w="6204" w:type="dxa"/>
            <w:shd w:val="clear" w:color="auto" w:fill="auto"/>
          </w:tcPr>
          <w:p w14:paraId="076ADEC5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二、加分部分</w:t>
            </w:r>
          </w:p>
        </w:tc>
        <w:tc>
          <w:tcPr>
            <w:tcW w:w="1417" w:type="dxa"/>
            <w:shd w:val="clear" w:color="auto" w:fill="auto"/>
          </w:tcPr>
          <w:p w14:paraId="29F0D8E6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满分15分</w:t>
            </w:r>
          </w:p>
        </w:tc>
        <w:tc>
          <w:tcPr>
            <w:tcW w:w="1134" w:type="dxa"/>
            <w:shd w:val="clear" w:color="auto" w:fill="auto"/>
          </w:tcPr>
          <w:p w14:paraId="17BDC547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31A333A8" w14:textId="77777777">
        <w:tc>
          <w:tcPr>
            <w:tcW w:w="6204" w:type="dxa"/>
            <w:shd w:val="clear" w:color="auto" w:fill="auto"/>
          </w:tcPr>
          <w:p w14:paraId="21C17E31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1、是否提供所有产品的原厂服务，并有原厂的书面承诺</w:t>
            </w:r>
          </w:p>
        </w:tc>
        <w:tc>
          <w:tcPr>
            <w:tcW w:w="1417" w:type="dxa"/>
            <w:shd w:val="clear" w:color="auto" w:fill="auto"/>
          </w:tcPr>
          <w:p w14:paraId="1712D76C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0-4分</w:t>
            </w:r>
          </w:p>
        </w:tc>
        <w:tc>
          <w:tcPr>
            <w:tcW w:w="1134" w:type="dxa"/>
            <w:shd w:val="clear" w:color="auto" w:fill="auto"/>
          </w:tcPr>
          <w:p w14:paraId="48DF17DC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713BB4D8" w14:textId="77777777">
        <w:tc>
          <w:tcPr>
            <w:tcW w:w="6204" w:type="dxa"/>
            <w:shd w:val="clear" w:color="auto" w:fill="auto"/>
          </w:tcPr>
          <w:p w14:paraId="5D017A9D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2、同类产品销售业绩合同，每提供一份加0.5分，最多3分</w:t>
            </w:r>
          </w:p>
        </w:tc>
        <w:tc>
          <w:tcPr>
            <w:tcW w:w="1417" w:type="dxa"/>
            <w:shd w:val="clear" w:color="auto" w:fill="auto"/>
          </w:tcPr>
          <w:p w14:paraId="1CC9B6EC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0-3分</w:t>
            </w:r>
          </w:p>
        </w:tc>
        <w:tc>
          <w:tcPr>
            <w:tcW w:w="1134" w:type="dxa"/>
            <w:shd w:val="clear" w:color="auto" w:fill="auto"/>
          </w:tcPr>
          <w:p w14:paraId="017B4611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17F7BBC7" w14:textId="77777777">
        <w:tc>
          <w:tcPr>
            <w:tcW w:w="6204" w:type="dxa"/>
            <w:shd w:val="clear" w:color="auto" w:fill="auto"/>
          </w:tcPr>
          <w:p w14:paraId="1A95A4EE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3、买方确认关键性指标或配置优于标准项目，每项可加1分，最多3分</w:t>
            </w:r>
          </w:p>
        </w:tc>
        <w:tc>
          <w:tcPr>
            <w:tcW w:w="1417" w:type="dxa"/>
            <w:shd w:val="clear" w:color="auto" w:fill="auto"/>
          </w:tcPr>
          <w:p w14:paraId="79E4F10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0-3分</w:t>
            </w:r>
          </w:p>
        </w:tc>
        <w:tc>
          <w:tcPr>
            <w:tcW w:w="1134" w:type="dxa"/>
            <w:shd w:val="clear" w:color="auto" w:fill="auto"/>
          </w:tcPr>
          <w:p w14:paraId="5EFFD769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51BA5591" w14:textId="77777777">
        <w:tc>
          <w:tcPr>
            <w:tcW w:w="6204" w:type="dxa"/>
            <w:shd w:val="clear" w:color="auto" w:fill="auto"/>
          </w:tcPr>
          <w:p w14:paraId="15EB729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4、</w:t>
            </w:r>
            <w:r>
              <w:rPr>
                <w:rFonts w:ascii="宋体" w:hAnsi="宋体" w:hint="eastAsia"/>
                <w:sz w:val="24"/>
              </w:rPr>
              <w:t>设备技术水平、工程应用情况</w:t>
            </w:r>
          </w:p>
        </w:tc>
        <w:tc>
          <w:tcPr>
            <w:tcW w:w="1417" w:type="dxa"/>
            <w:shd w:val="clear" w:color="auto" w:fill="auto"/>
          </w:tcPr>
          <w:p w14:paraId="04981EFE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0-5分</w:t>
            </w:r>
          </w:p>
        </w:tc>
        <w:tc>
          <w:tcPr>
            <w:tcW w:w="1134" w:type="dxa"/>
            <w:shd w:val="clear" w:color="auto" w:fill="auto"/>
          </w:tcPr>
          <w:p w14:paraId="5AE9ADB8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3E05D5AB" w14:textId="77777777">
        <w:tc>
          <w:tcPr>
            <w:tcW w:w="6204" w:type="dxa"/>
            <w:shd w:val="clear" w:color="auto" w:fill="auto"/>
          </w:tcPr>
          <w:p w14:paraId="747180D3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三、企业资质和产品销售业绩、售后服务及交货时间</w:t>
            </w:r>
          </w:p>
        </w:tc>
        <w:tc>
          <w:tcPr>
            <w:tcW w:w="1417" w:type="dxa"/>
            <w:shd w:val="clear" w:color="auto" w:fill="auto"/>
          </w:tcPr>
          <w:p w14:paraId="4168271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满分10分</w:t>
            </w:r>
          </w:p>
        </w:tc>
        <w:tc>
          <w:tcPr>
            <w:tcW w:w="1134" w:type="dxa"/>
            <w:shd w:val="clear" w:color="auto" w:fill="auto"/>
          </w:tcPr>
          <w:p w14:paraId="53B0BB14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5F27DB07" w14:textId="77777777">
        <w:trPr>
          <w:trHeight w:val="670"/>
        </w:trPr>
        <w:tc>
          <w:tcPr>
            <w:tcW w:w="6204" w:type="dxa"/>
            <w:shd w:val="clear" w:color="auto" w:fill="auto"/>
          </w:tcPr>
          <w:p w14:paraId="00E2CE14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符合采购文件要求，核心元件质保1年（提供备件附清单）（增加1年，加2分，4分满分）</w:t>
            </w:r>
          </w:p>
        </w:tc>
        <w:tc>
          <w:tcPr>
            <w:tcW w:w="1417" w:type="dxa"/>
            <w:shd w:val="clear" w:color="auto" w:fill="auto"/>
          </w:tcPr>
          <w:p w14:paraId="1808774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0-4分</w:t>
            </w:r>
          </w:p>
        </w:tc>
        <w:tc>
          <w:tcPr>
            <w:tcW w:w="1134" w:type="dxa"/>
            <w:shd w:val="clear" w:color="auto" w:fill="auto"/>
          </w:tcPr>
          <w:p w14:paraId="17D4F0D5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112A36E7" w14:textId="77777777">
        <w:tc>
          <w:tcPr>
            <w:tcW w:w="6204" w:type="dxa"/>
            <w:shd w:val="clear" w:color="auto" w:fill="auto"/>
          </w:tcPr>
          <w:p w14:paraId="170A9438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交货验收时间（</w:t>
            </w:r>
            <w:r>
              <w:rPr>
                <w:rFonts w:ascii="宋体" w:hint="eastAsia"/>
                <w:color w:val="FF0000"/>
                <w:sz w:val="24"/>
                <w:szCs w:val="21"/>
              </w:rPr>
              <w:t>合同签订45天内</w:t>
            </w:r>
            <w:r>
              <w:rPr>
                <w:rFonts w:ascii="宋体" w:hint="eastAsia"/>
                <w:sz w:val="24"/>
                <w:szCs w:val="21"/>
              </w:rPr>
              <w:t>），少于40天2分</w:t>
            </w:r>
          </w:p>
        </w:tc>
        <w:tc>
          <w:tcPr>
            <w:tcW w:w="1417" w:type="dxa"/>
            <w:shd w:val="clear" w:color="auto" w:fill="auto"/>
          </w:tcPr>
          <w:p w14:paraId="0BE4DD19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 xml:space="preserve">0-4分 </w:t>
            </w:r>
          </w:p>
        </w:tc>
        <w:tc>
          <w:tcPr>
            <w:tcW w:w="1134" w:type="dxa"/>
            <w:shd w:val="clear" w:color="auto" w:fill="auto"/>
          </w:tcPr>
          <w:p w14:paraId="6602B6C3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0041E275" w14:textId="77777777">
        <w:tc>
          <w:tcPr>
            <w:tcW w:w="6204" w:type="dxa"/>
            <w:shd w:val="clear" w:color="auto" w:fill="auto"/>
          </w:tcPr>
          <w:p w14:paraId="1B88EA27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售后服务方案</w:t>
            </w:r>
          </w:p>
        </w:tc>
        <w:tc>
          <w:tcPr>
            <w:tcW w:w="1417" w:type="dxa"/>
            <w:shd w:val="clear" w:color="auto" w:fill="auto"/>
          </w:tcPr>
          <w:p w14:paraId="6E8B906A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0-2分</w:t>
            </w:r>
          </w:p>
        </w:tc>
        <w:tc>
          <w:tcPr>
            <w:tcW w:w="1134" w:type="dxa"/>
            <w:shd w:val="clear" w:color="auto" w:fill="auto"/>
          </w:tcPr>
          <w:p w14:paraId="7B301FD3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4357C1D1" w14:textId="77777777">
        <w:tc>
          <w:tcPr>
            <w:tcW w:w="6204" w:type="dxa"/>
            <w:shd w:val="clear" w:color="auto" w:fill="auto"/>
          </w:tcPr>
          <w:p w14:paraId="7A995F44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四、企业综合情况</w:t>
            </w:r>
          </w:p>
        </w:tc>
        <w:tc>
          <w:tcPr>
            <w:tcW w:w="1417" w:type="dxa"/>
            <w:shd w:val="clear" w:color="auto" w:fill="auto"/>
          </w:tcPr>
          <w:p w14:paraId="68E8BFD1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满分5分</w:t>
            </w:r>
          </w:p>
        </w:tc>
        <w:tc>
          <w:tcPr>
            <w:tcW w:w="1134" w:type="dxa"/>
            <w:shd w:val="clear" w:color="auto" w:fill="auto"/>
          </w:tcPr>
          <w:p w14:paraId="4413B6C7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12D6A080" w14:textId="77777777">
        <w:tc>
          <w:tcPr>
            <w:tcW w:w="6204" w:type="dxa"/>
            <w:shd w:val="clear" w:color="auto" w:fill="auto"/>
          </w:tcPr>
          <w:p w14:paraId="18B33A62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五、价格分</w:t>
            </w:r>
          </w:p>
        </w:tc>
        <w:tc>
          <w:tcPr>
            <w:tcW w:w="1417" w:type="dxa"/>
            <w:shd w:val="clear" w:color="auto" w:fill="auto"/>
          </w:tcPr>
          <w:p w14:paraId="2ED371B5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40分</w:t>
            </w:r>
          </w:p>
        </w:tc>
        <w:tc>
          <w:tcPr>
            <w:tcW w:w="1134" w:type="dxa"/>
            <w:shd w:val="clear" w:color="auto" w:fill="auto"/>
          </w:tcPr>
          <w:p w14:paraId="00BDF7C3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  <w:tr w:rsidR="0051400E" w14:paraId="4D8EFE87" w14:textId="77777777">
        <w:tc>
          <w:tcPr>
            <w:tcW w:w="6204" w:type="dxa"/>
            <w:shd w:val="clear" w:color="auto" w:fill="auto"/>
          </w:tcPr>
          <w:p w14:paraId="4ED80BDE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总计</w:t>
            </w:r>
          </w:p>
        </w:tc>
        <w:tc>
          <w:tcPr>
            <w:tcW w:w="1417" w:type="dxa"/>
            <w:shd w:val="clear" w:color="auto" w:fill="auto"/>
          </w:tcPr>
          <w:p w14:paraId="514C1FEC" w14:textId="77777777" w:rsidR="0051400E" w:rsidRDefault="00000000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  <w:r>
              <w:rPr>
                <w:rFonts w:ascii="宋体" w:hint="eastAsia"/>
                <w:sz w:val="24"/>
                <w:szCs w:val="21"/>
              </w:rPr>
              <w:t>满分100分</w:t>
            </w:r>
          </w:p>
        </w:tc>
        <w:tc>
          <w:tcPr>
            <w:tcW w:w="1134" w:type="dxa"/>
            <w:shd w:val="clear" w:color="auto" w:fill="auto"/>
          </w:tcPr>
          <w:p w14:paraId="707181D7" w14:textId="77777777" w:rsidR="0051400E" w:rsidRDefault="0051400E">
            <w:pPr>
              <w:widowControl w:val="0"/>
              <w:adjustRightInd w:val="0"/>
              <w:spacing w:line="360" w:lineRule="auto"/>
              <w:textAlignment w:val="baseline"/>
              <w:rPr>
                <w:rFonts w:ascii="宋体"/>
                <w:sz w:val="24"/>
                <w:szCs w:val="21"/>
              </w:rPr>
            </w:pPr>
          </w:p>
        </w:tc>
      </w:tr>
    </w:tbl>
    <w:p w14:paraId="410B7498" w14:textId="77777777" w:rsidR="0051400E" w:rsidRDefault="00000000">
      <w:pPr>
        <w:pStyle w:val="2"/>
        <w:spacing w:before="120" w:after="120" w:line="360" w:lineRule="auto"/>
        <w:rPr>
          <w:rFonts w:ascii="Times New Roman" w:eastAsia="宋体" w:hAnsi="宋体" w:hint="eastAsia"/>
          <w:sz w:val="24"/>
          <w:szCs w:val="24"/>
        </w:rPr>
      </w:pPr>
      <w:bookmarkStart w:id="3" w:name="_Toc160245108"/>
      <w:bookmarkStart w:id="4" w:name="_Toc486842349"/>
      <w:r>
        <w:rPr>
          <w:rFonts w:ascii="Times New Roman" w:eastAsia="宋体" w:hAnsi="宋体"/>
          <w:sz w:val="24"/>
          <w:szCs w:val="24"/>
        </w:rPr>
        <w:lastRenderedPageBreak/>
        <w:t>二、</w:t>
      </w:r>
      <w:bookmarkStart w:id="5" w:name="_Toc160245109"/>
      <w:bookmarkEnd w:id="3"/>
      <w:bookmarkEnd w:id="4"/>
      <w:r>
        <w:rPr>
          <w:rFonts w:ascii="Times New Roman" w:eastAsia="宋体" w:hAnsi="宋体"/>
          <w:sz w:val="24"/>
          <w:szCs w:val="24"/>
        </w:rPr>
        <w:t>技术要求</w:t>
      </w:r>
      <w:bookmarkEnd w:id="5"/>
    </w:p>
    <w:p w14:paraId="621E3DBD" w14:textId="77777777" w:rsidR="0051400E" w:rsidRDefault="00000000">
      <w:pPr>
        <w:pStyle w:val="2"/>
        <w:spacing w:before="120" w:after="120" w:line="360" w:lineRule="auto"/>
        <w:rPr>
          <w:rFonts w:ascii="Times New Roman" w:eastAsia="宋体" w:hAnsi="宋体" w:hint="eastAsia"/>
          <w:sz w:val="24"/>
          <w:szCs w:val="24"/>
        </w:rPr>
      </w:pPr>
      <w:bookmarkStart w:id="6" w:name="_Hlk63171858"/>
      <w:bookmarkStart w:id="7" w:name="_Toc486842354"/>
      <w:r>
        <w:rPr>
          <w:rFonts w:ascii="Times New Roman" w:eastAsia="宋体" w:hAnsi="宋体" w:hint="eastAsia"/>
          <w:sz w:val="24"/>
          <w:szCs w:val="24"/>
        </w:rPr>
        <w:t>2.1</w:t>
      </w:r>
      <w:r>
        <w:rPr>
          <w:rFonts w:hAnsi="Times New Roman"/>
          <w:b w:val="0"/>
          <w:kern w:val="2"/>
          <w:sz w:val="24"/>
          <w:szCs w:val="24"/>
        </w:rPr>
        <w:t>货物名称、数量及要求：</w:t>
      </w:r>
    </w:p>
    <w:p w14:paraId="3D335EB7" w14:textId="77777777" w:rsidR="0051400E" w:rsidRDefault="00000000">
      <w:pPr>
        <w:widowControl w:val="0"/>
        <w:spacing w:line="360" w:lineRule="auto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货物</w:t>
      </w:r>
      <w:r>
        <w:rPr>
          <w:bCs/>
          <w:kern w:val="2"/>
          <w:sz w:val="24"/>
          <w:szCs w:val="24"/>
        </w:rPr>
        <w:t>名称：</w:t>
      </w:r>
      <w:r>
        <w:rPr>
          <w:rFonts w:hint="eastAsia"/>
          <w:bCs/>
          <w:kern w:val="2"/>
          <w:sz w:val="24"/>
          <w:szCs w:val="24"/>
        </w:rPr>
        <w:t>钛合金舱体</w:t>
      </w:r>
    </w:p>
    <w:p w14:paraId="76C57143" w14:textId="77777777" w:rsidR="0051400E" w:rsidRDefault="00000000">
      <w:pPr>
        <w:widowControl w:val="0"/>
        <w:spacing w:line="360" w:lineRule="auto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货物数量：</w:t>
      </w:r>
      <w:r>
        <w:rPr>
          <w:rFonts w:hint="eastAsia"/>
          <w:bCs/>
          <w:kern w:val="2"/>
          <w:sz w:val="24"/>
          <w:szCs w:val="24"/>
        </w:rPr>
        <w:t>01</w:t>
      </w:r>
      <w:r>
        <w:rPr>
          <w:rFonts w:hint="eastAsia"/>
          <w:bCs/>
          <w:kern w:val="2"/>
          <w:sz w:val="24"/>
          <w:szCs w:val="24"/>
        </w:rPr>
        <w:t>舱体</w:t>
      </w:r>
      <w:r>
        <w:rPr>
          <w:rFonts w:hint="eastAsia"/>
          <w:bCs/>
          <w:kern w:val="2"/>
          <w:sz w:val="24"/>
          <w:szCs w:val="24"/>
        </w:rPr>
        <w:t>10</w:t>
      </w:r>
      <w:r>
        <w:rPr>
          <w:rFonts w:hint="eastAsia"/>
          <w:bCs/>
          <w:kern w:val="2"/>
          <w:sz w:val="24"/>
          <w:szCs w:val="24"/>
        </w:rPr>
        <w:t>套，</w:t>
      </w:r>
      <w:r>
        <w:rPr>
          <w:rFonts w:hint="eastAsia"/>
          <w:bCs/>
          <w:kern w:val="2"/>
          <w:sz w:val="24"/>
          <w:szCs w:val="24"/>
        </w:rPr>
        <w:t xml:space="preserve"> 02</w:t>
      </w:r>
      <w:r>
        <w:rPr>
          <w:rFonts w:hint="eastAsia"/>
          <w:bCs/>
          <w:kern w:val="2"/>
          <w:sz w:val="24"/>
          <w:szCs w:val="24"/>
        </w:rPr>
        <w:t>舱体</w:t>
      </w:r>
      <w:r>
        <w:rPr>
          <w:rFonts w:hint="eastAsia"/>
          <w:bCs/>
          <w:kern w:val="2"/>
          <w:sz w:val="24"/>
          <w:szCs w:val="24"/>
        </w:rPr>
        <w:t xml:space="preserve"> 4</w:t>
      </w:r>
      <w:r>
        <w:rPr>
          <w:rFonts w:hint="eastAsia"/>
          <w:bCs/>
          <w:kern w:val="2"/>
          <w:sz w:val="24"/>
          <w:szCs w:val="24"/>
        </w:rPr>
        <w:t>套，共计</w:t>
      </w:r>
      <w:r>
        <w:rPr>
          <w:rFonts w:hint="eastAsia"/>
          <w:bCs/>
          <w:kern w:val="2"/>
          <w:sz w:val="24"/>
          <w:szCs w:val="24"/>
        </w:rPr>
        <w:t>14</w:t>
      </w:r>
      <w:r>
        <w:rPr>
          <w:rFonts w:hint="eastAsia"/>
          <w:bCs/>
          <w:kern w:val="2"/>
          <w:sz w:val="24"/>
          <w:szCs w:val="24"/>
        </w:rPr>
        <w:t>套。</w:t>
      </w:r>
    </w:p>
    <w:p w14:paraId="185E816C" w14:textId="77777777" w:rsidR="0051400E" w:rsidRDefault="00000000">
      <w:pPr>
        <w:widowControl w:val="0"/>
        <w:spacing w:line="360" w:lineRule="auto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图纸数模：意向竞磋人请电联索取具体舱体信息。</w:t>
      </w:r>
    </w:p>
    <w:p w14:paraId="3124700B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技术条件：</w:t>
      </w:r>
    </w:p>
    <w:bookmarkEnd w:id="6"/>
    <w:p w14:paraId="6310F292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材料：</w:t>
      </w:r>
    </w:p>
    <w:p w14:paraId="4398B79A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钛合金</w:t>
      </w:r>
      <w:r>
        <w:rPr>
          <w:rFonts w:hint="eastAsia"/>
          <w:bCs/>
          <w:kern w:val="2"/>
          <w:sz w:val="24"/>
          <w:szCs w:val="24"/>
        </w:rPr>
        <w:t>TC4</w:t>
      </w:r>
      <w:r>
        <w:rPr>
          <w:rFonts w:hint="eastAsia"/>
          <w:bCs/>
          <w:kern w:val="2"/>
          <w:sz w:val="24"/>
          <w:szCs w:val="24"/>
        </w:rPr>
        <w:t>，材料生产商出具材料证明，</w:t>
      </w:r>
    </w:p>
    <w:p w14:paraId="54C85A8C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1</w:t>
      </w:r>
      <w:r>
        <w:rPr>
          <w:rFonts w:hint="eastAsia"/>
          <w:bCs/>
          <w:kern w:val="2"/>
          <w:sz w:val="24"/>
          <w:szCs w:val="24"/>
        </w:rPr>
        <w:t>：化学成分报告：包括材料的主要成分如</w:t>
      </w:r>
      <w:r>
        <w:rPr>
          <w:rFonts w:hint="eastAsia"/>
          <w:bCs/>
          <w:kern w:val="2"/>
          <w:sz w:val="24"/>
          <w:szCs w:val="24"/>
        </w:rPr>
        <w:t>Ti</w:t>
      </w:r>
      <w:r>
        <w:rPr>
          <w:rFonts w:hint="eastAsia"/>
          <w:bCs/>
          <w:kern w:val="2"/>
          <w:sz w:val="24"/>
          <w:szCs w:val="24"/>
        </w:rPr>
        <w:t>、</w:t>
      </w:r>
      <w:r>
        <w:rPr>
          <w:rFonts w:hint="eastAsia"/>
          <w:bCs/>
          <w:kern w:val="2"/>
          <w:sz w:val="24"/>
          <w:szCs w:val="24"/>
        </w:rPr>
        <w:t>Al</w:t>
      </w:r>
      <w:r>
        <w:rPr>
          <w:rFonts w:hint="eastAsia"/>
          <w:bCs/>
          <w:kern w:val="2"/>
          <w:sz w:val="24"/>
          <w:szCs w:val="24"/>
        </w:rPr>
        <w:t>、</w:t>
      </w:r>
      <w:r>
        <w:rPr>
          <w:rFonts w:hint="eastAsia"/>
          <w:bCs/>
          <w:kern w:val="2"/>
          <w:sz w:val="24"/>
          <w:szCs w:val="24"/>
        </w:rPr>
        <w:t>V</w:t>
      </w:r>
      <w:r>
        <w:rPr>
          <w:rFonts w:hint="eastAsia"/>
          <w:bCs/>
          <w:kern w:val="2"/>
          <w:sz w:val="24"/>
          <w:szCs w:val="24"/>
        </w:rPr>
        <w:t>以及其他微量元素</w:t>
      </w:r>
    </w:p>
    <w:p w14:paraId="25469144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2:</w:t>
      </w:r>
      <w:r>
        <w:rPr>
          <w:rFonts w:hint="eastAsia"/>
          <w:bCs/>
          <w:kern w:val="2"/>
          <w:sz w:val="24"/>
          <w:szCs w:val="24"/>
        </w:rPr>
        <w:t>机械性能报告：抗拉强度（通常约为</w:t>
      </w:r>
      <w:r>
        <w:rPr>
          <w:rFonts w:hint="eastAsia"/>
          <w:bCs/>
          <w:kern w:val="2"/>
          <w:sz w:val="24"/>
          <w:szCs w:val="24"/>
        </w:rPr>
        <w:t>900 MPa</w:t>
      </w:r>
      <w:r>
        <w:rPr>
          <w:rFonts w:hint="eastAsia"/>
          <w:bCs/>
          <w:kern w:val="2"/>
          <w:sz w:val="24"/>
          <w:szCs w:val="24"/>
        </w:rPr>
        <w:t>）屈服强度（通常约为</w:t>
      </w:r>
      <w:r>
        <w:rPr>
          <w:rFonts w:hint="eastAsia"/>
          <w:bCs/>
          <w:kern w:val="2"/>
          <w:sz w:val="24"/>
          <w:szCs w:val="24"/>
        </w:rPr>
        <w:t>800 MPa</w:t>
      </w:r>
      <w:r>
        <w:rPr>
          <w:rFonts w:hint="eastAsia"/>
          <w:bCs/>
          <w:kern w:val="2"/>
          <w:sz w:val="24"/>
          <w:szCs w:val="24"/>
        </w:rPr>
        <w:t>）</w:t>
      </w:r>
      <w:r>
        <w:rPr>
          <w:rFonts w:hint="eastAsia"/>
          <w:bCs/>
          <w:kern w:val="2"/>
          <w:sz w:val="24"/>
          <w:szCs w:val="24"/>
        </w:rPr>
        <w:t xml:space="preserve">             </w:t>
      </w:r>
      <w:r>
        <w:rPr>
          <w:rFonts w:hint="eastAsia"/>
          <w:bCs/>
          <w:kern w:val="2"/>
          <w:sz w:val="24"/>
          <w:szCs w:val="24"/>
        </w:rPr>
        <w:t>断裂韧性（约</w:t>
      </w:r>
      <w:r>
        <w:rPr>
          <w:rFonts w:hint="eastAsia"/>
          <w:bCs/>
          <w:kern w:val="2"/>
          <w:sz w:val="24"/>
          <w:szCs w:val="24"/>
        </w:rPr>
        <w:t>10-15 MPa</w:t>
      </w:r>
      <w:r>
        <w:rPr>
          <w:rFonts w:hint="eastAsia"/>
          <w:bCs/>
          <w:kern w:val="2"/>
          <w:sz w:val="24"/>
          <w:szCs w:val="24"/>
        </w:rPr>
        <w:t>·</w:t>
      </w:r>
      <w:r>
        <w:rPr>
          <w:rFonts w:hint="eastAsia"/>
          <w:bCs/>
          <w:kern w:val="2"/>
          <w:sz w:val="24"/>
          <w:szCs w:val="24"/>
        </w:rPr>
        <w:t>m^(1/2)</w:t>
      </w:r>
      <w:r>
        <w:rPr>
          <w:rFonts w:hint="eastAsia"/>
          <w:bCs/>
          <w:kern w:val="2"/>
          <w:sz w:val="24"/>
          <w:szCs w:val="24"/>
        </w:rPr>
        <w:t>）</w:t>
      </w:r>
    </w:p>
    <w:p w14:paraId="1F3FA077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#3:</w:t>
      </w:r>
      <w:r>
        <w:rPr>
          <w:rFonts w:hint="eastAsia"/>
          <w:bCs/>
          <w:kern w:val="2"/>
          <w:sz w:val="24"/>
          <w:szCs w:val="24"/>
        </w:rPr>
        <w:t>无损检测报告：超声波检测（</w:t>
      </w:r>
      <w:r>
        <w:rPr>
          <w:rFonts w:hint="eastAsia"/>
          <w:bCs/>
          <w:kern w:val="2"/>
          <w:sz w:val="24"/>
          <w:szCs w:val="24"/>
        </w:rPr>
        <w:t>UT</w:t>
      </w:r>
      <w:r>
        <w:rPr>
          <w:rFonts w:hint="eastAsia"/>
          <w:bCs/>
          <w:kern w:val="2"/>
          <w:sz w:val="24"/>
          <w:szCs w:val="24"/>
        </w:rPr>
        <w:t>）、</w:t>
      </w:r>
      <w:r>
        <w:rPr>
          <w:rFonts w:hint="eastAsia"/>
          <w:bCs/>
          <w:kern w:val="2"/>
          <w:sz w:val="24"/>
          <w:szCs w:val="24"/>
        </w:rPr>
        <w:t>X</w:t>
      </w:r>
      <w:r>
        <w:rPr>
          <w:rFonts w:hint="eastAsia"/>
          <w:bCs/>
          <w:kern w:val="2"/>
          <w:sz w:val="24"/>
          <w:szCs w:val="24"/>
        </w:rPr>
        <w:t>射线检测（</w:t>
      </w:r>
      <w:r>
        <w:rPr>
          <w:rFonts w:hint="eastAsia"/>
          <w:bCs/>
          <w:kern w:val="2"/>
          <w:sz w:val="24"/>
          <w:szCs w:val="24"/>
        </w:rPr>
        <w:t>RT</w:t>
      </w:r>
      <w:r>
        <w:rPr>
          <w:rFonts w:hint="eastAsia"/>
          <w:bCs/>
          <w:kern w:val="2"/>
          <w:sz w:val="24"/>
          <w:szCs w:val="24"/>
        </w:rPr>
        <w:t>）、渗透检测（</w:t>
      </w:r>
      <w:r>
        <w:rPr>
          <w:rFonts w:hint="eastAsia"/>
          <w:bCs/>
          <w:kern w:val="2"/>
          <w:sz w:val="24"/>
          <w:szCs w:val="24"/>
        </w:rPr>
        <w:t>PT</w:t>
      </w:r>
      <w:r>
        <w:rPr>
          <w:rFonts w:hint="eastAsia"/>
          <w:bCs/>
          <w:kern w:val="2"/>
          <w:sz w:val="24"/>
          <w:szCs w:val="24"/>
        </w:rPr>
        <w:t>）等，以确保材料内部无明显缺陷</w:t>
      </w:r>
    </w:p>
    <w:p w14:paraId="66FBC900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4:</w:t>
      </w:r>
      <w:r>
        <w:rPr>
          <w:rFonts w:hint="eastAsia"/>
          <w:bCs/>
          <w:kern w:val="2"/>
          <w:sz w:val="24"/>
          <w:szCs w:val="24"/>
        </w:rPr>
        <w:t>焊接性能报告：包括焊接工艺评定（</w:t>
      </w:r>
      <w:r>
        <w:rPr>
          <w:rFonts w:hint="eastAsia"/>
          <w:bCs/>
          <w:kern w:val="2"/>
          <w:sz w:val="24"/>
          <w:szCs w:val="24"/>
        </w:rPr>
        <w:t>WPS</w:t>
      </w:r>
      <w:r>
        <w:rPr>
          <w:rFonts w:hint="eastAsia"/>
          <w:bCs/>
          <w:kern w:val="2"/>
          <w:sz w:val="24"/>
          <w:szCs w:val="24"/>
        </w:rPr>
        <w:t>）、焊接程序说明（</w:t>
      </w:r>
      <w:r>
        <w:rPr>
          <w:rFonts w:hint="eastAsia"/>
          <w:bCs/>
          <w:kern w:val="2"/>
          <w:sz w:val="24"/>
          <w:szCs w:val="24"/>
        </w:rPr>
        <w:t>PQR</w:t>
      </w:r>
      <w:r>
        <w:rPr>
          <w:rFonts w:hint="eastAsia"/>
          <w:bCs/>
          <w:kern w:val="2"/>
          <w:sz w:val="24"/>
          <w:szCs w:val="24"/>
        </w:rPr>
        <w:t>）等，确保材料具备良好的焊接性能。</w:t>
      </w:r>
    </w:p>
    <w:p w14:paraId="0D90EADE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工件成品大约尺寸：</w:t>
      </w:r>
    </w:p>
    <w:p w14:paraId="0B8EF688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01</w:t>
      </w:r>
      <w:r>
        <w:rPr>
          <w:rFonts w:hint="eastAsia"/>
          <w:bCs/>
          <w:kern w:val="2"/>
          <w:sz w:val="24"/>
          <w:szCs w:val="24"/>
        </w:rPr>
        <w:t>舱体尺寸：</w:t>
      </w:r>
      <w:r>
        <w:rPr>
          <w:rFonts w:hint="eastAsia"/>
          <w:bCs/>
          <w:kern w:val="2"/>
          <w:sz w:val="24"/>
          <w:szCs w:val="24"/>
        </w:rPr>
        <w:t xml:space="preserve">400mm x 384mm x 295mm </w:t>
      </w:r>
    </w:p>
    <w:p w14:paraId="06947582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02</w:t>
      </w:r>
      <w:r>
        <w:rPr>
          <w:rFonts w:hint="eastAsia"/>
          <w:bCs/>
          <w:kern w:val="2"/>
          <w:sz w:val="24"/>
          <w:szCs w:val="24"/>
        </w:rPr>
        <w:t>舱体</w:t>
      </w:r>
      <w:r>
        <w:rPr>
          <w:rFonts w:hint="eastAsia"/>
          <w:bCs/>
          <w:kern w:val="2"/>
          <w:sz w:val="24"/>
          <w:szCs w:val="24"/>
        </w:rPr>
        <w:t xml:space="preserve"> </w:t>
      </w:r>
      <w:r>
        <w:rPr>
          <w:rFonts w:hint="eastAsia"/>
          <w:bCs/>
          <w:kern w:val="2"/>
          <w:sz w:val="24"/>
          <w:szCs w:val="24"/>
        </w:rPr>
        <w:t>尺寸：</w:t>
      </w:r>
      <w:r>
        <w:rPr>
          <w:rFonts w:hint="eastAsia"/>
          <w:bCs/>
          <w:kern w:val="2"/>
          <w:sz w:val="24"/>
          <w:szCs w:val="24"/>
        </w:rPr>
        <w:t>400mm x 384mm x 165mm</w:t>
      </w:r>
    </w:p>
    <w:p w14:paraId="4D72147E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箱体技术要求：</w:t>
      </w:r>
    </w:p>
    <w:p w14:paraId="2C89011D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1</w:t>
      </w:r>
      <w:r>
        <w:rPr>
          <w:rFonts w:hint="eastAsia"/>
          <w:bCs/>
          <w:kern w:val="2"/>
          <w:sz w:val="24"/>
          <w:szCs w:val="24"/>
        </w:rPr>
        <w:t>：箱体上各板之间要采取双面焊接，焊缝高度</w:t>
      </w:r>
      <w:r>
        <w:rPr>
          <w:rFonts w:hint="eastAsia"/>
          <w:bCs/>
          <w:kern w:val="2"/>
          <w:sz w:val="24"/>
          <w:szCs w:val="24"/>
        </w:rPr>
        <w:t>&gt;2mm</w:t>
      </w:r>
      <w:r>
        <w:rPr>
          <w:rFonts w:hint="eastAsia"/>
          <w:bCs/>
          <w:kern w:val="2"/>
          <w:sz w:val="24"/>
          <w:szCs w:val="24"/>
        </w:rPr>
        <w:t>，焊透，焊后热处理，再整体机加工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1EFC791F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2</w:t>
      </w:r>
      <w:r>
        <w:rPr>
          <w:rFonts w:hint="eastAsia"/>
          <w:bCs/>
          <w:kern w:val="2"/>
          <w:sz w:val="24"/>
          <w:szCs w:val="24"/>
        </w:rPr>
        <w:t>：焊接前板材如不平整，应予校平，板材切割时应保证光直，平整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56BF6DF5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3</w:t>
      </w:r>
      <w:r>
        <w:rPr>
          <w:rFonts w:hint="eastAsia"/>
          <w:bCs/>
          <w:kern w:val="2"/>
          <w:sz w:val="24"/>
          <w:szCs w:val="24"/>
        </w:rPr>
        <w:t>：焊缝表面应平整、美观，焊后清渣，焊疤平，去毛刺，毛边修整，锐角倒钝</w:t>
      </w:r>
      <w:r>
        <w:rPr>
          <w:rFonts w:hint="eastAsia"/>
          <w:bCs/>
          <w:kern w:val="2"/>
          <w:sz w:val="24"/>
          <w:szCs w:val="24"/>
        </w:rPr>
        <w:t>,</w:t>
      </w:r>
      <w:r>
        <w:rPr>
          <w:rFonts w:hint="eastAsia"/>
          <w:bCs/>
          <w:kern w:val="2"/>
          <w:sz w:val="24"/>
          <w:szCs w:val="24"/>
        </w:rPr>
        <w:t>不能有夹渣、气孔等缺陷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08EA25BA" w14:textId="1496EF2B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4</w:t>
      </w:r>
      <w:r>
        <w:rPr>
          <w:rFonts w:hint="eastAsia"/>
          <w:bCs/>
          <w:kern w:val="2"/>
          <w:sz w:val="24"/>
          <w:szCs w:val="24"/>
        </w:rPr>
        <w:t>：零件加工表面上不应有沟痕、碰伤等损坏零件表面、降低零件强度及寿命的缺陷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19B5FC42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5</w:t>
      </w:r>
      <w:r>
        <w:rPr>
          <w:rFonts w:hint="eastAsia"/>
          <w:bCs/>
          <w:kern w:val="2"/>
          <w:sz w:val="24"/>
          <w:szCs w:val="24"/>
        </w:rPr>
        <w:t>：所有焊缝在无损检测之前应进行外观质量检验，焊缝的无损检测应在焊后</w:t>
      </w:r>
      <w:r>
        <w:rPr>
          <w:rFonts w:hint="eastAsia"/>
          <w:bCs/>
          <w:kern w:val="2"/>
          <w:sz w:val="24"/>
          <w:szCs w:val="24"/>
        </w:rPr>
        <w:t>24</w:t>
      </w:r>
      <w:r>
        <w:rPr>
          <w:rFonts w:hint="eastAsia"/>
          <w:bCs/>
          <w:kern w:val="2"/>
          <w:sz w:val="24"/>
          <w:szCs w:val="24"/>
        </w:rPr>
        <w:t>小时以后进行，无损检测按《承压设备无损检测》执行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759B1F7A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6</w:t>
      </w:r>
      <w:r>
        <w:rPr>
          <w:rFonts w:hint="eastAsia"/>
          <w:bCs/>
          <w:kern w:val="2"/>
          <w:sz w:val="24"/>
          <w:szCs w:val="24"/>
        </w:rPr>
        <w:t>：板材采用超声波进行</w:t>
      </w:r>
      <w:r>
        <w:rPr>
          <w:rFonts w:hint="eastAsia"/>
          <w:bCs/>
          <w:kern w:val="2"/>
          <w:sz w:val="24"/>
          <w:szCs w:val="24"/>
        </w:rPr>
        <w:t>100%</w:t>
      </w:r>
      <w:r>
        <w:rPr>
          <w:rFonts w:hint="eastAsia"/>
          <w:bCs/>
          <w:kern w:val="2"/>
          <w:sz w:val="24"/>
          <w:szCs w:val="24"/>
        </w:rPr>
        <w:t>无损检测，检查结果满足《钛及钛合金加工产品超</w:t>
      </w:r>
      <w:r>
        <w:rPr>
          <w:rFonts w:hint="eastAsia"/>
          <w:bCs/>
          <w:kern w:val="2"/>
          <w:sz w:val="24"/>
          <w:szCs w:val="24"/>
        </w:rPr>
        <w:lastRenderedPageBreak/>
        <w:t>声波探伤方法》</w:t>
      </w:r>
      <w:r>
        <w:rPr>
          <w:rFonts w:hint="eastAsia"/>
          <w:bCs/>
          <w:kern w:val="2"/>
          <w:sz w:val="24"/>
          <w:szCs w:val="24"/>
        </w:rPr>
        <w:t>(GB/T5193-2007)</w:t>
      </w:r>
      <w:r>
        <w:rPr>
          <w:rFonts w:hint="eastAsia"/>
          <w:bCs/>
          <w:kern w:val="2"/>
          <w:sz w:val="24"/>
          <w:szCs w:val="24"/>
        </w:rPr>
        <w:t>中</w:t>
      </w:r>
      <w:r>
        <w:rPr>
          <w:rFonts w:hint="eastAsia"/>
          <w:bCs/>
          <w:kern w:val="2"/>
          <w:sz w:val="24"/>
          <w:szCs w:val="24"/>
        </w:rPr>
        <w:t>A</w:t>
      </w:r>
      <w:r>
        <w:rPr>
          <w:rFonts w:hint="eastAsia"/>
          <w:bCs/>
          <w:kern w:val="2"/>
          <w:sz w:val="24"/>
          <w:szCs w:val="24"/>
        </w:rPr>
        <w:t>级合格</w:t>
      </w:r>
    </w:p>
    <w:p w14:paraId="5B1391AA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7</w:t>
      </w:r>
      <w:r>
        <w:rPr>
          <w:rFonts w:hint="eastAsia"/>
          <w:bCs/>
          <w:kern w:val="2"/>
          <w:sz w:val="24"/>
          <w:szCs w:val="24"/>
        </w:rPr>
        <w:t>：未注公差尺寸的公差等级按</w:t>
      </w:r>
      <w:r>
        <w:rPr>
          <w:rFonts w:hint="eastAsia"/>
          <w:bCs/>
          <w:kern w:val="2"/>
          <w:sz w:val="24"/>
          <w:szCs w:val="24"/>
        </w:rPr>
        <w:t>IT14;</w:t>
      </w:r>
    </w:p>
    <w:p w14:paraId="18C81AD3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8</w:t>
      </w:r>
      <w:r>
        <w:rPr>
          <w:rFonts w:hint="eastAsia"/>
          <w:bCs/>
          <w:kern w:val="2"/>
          <w:sz w:val="24"/>
          <w:szCs w:val="24"/>
        </w:rPr>
        <w:t>：未注尺寸公差按</w:t>
      </w:r>
      <w:r>
        <w:rPr>
          <w:rFonts w:hint="eastAsia"/>
          <w:bCs/>
          <w:kern w:val="2"/>
          <w:sz w:val="24"/>
          <w:szCs w:val="24"/>
        </w:rPr>
        <w:t>GB/T1804 m</w:t>
      </w:r>
      <w:r>
        <w:rPr>
          <w:rFonts w:hint="eastAsia"/>
          <w:bCs/>
          <w:kern w:val="2"/>
          <w:sz w:val="24"/>
          <w:szCs w:val="24"/>
        </w:rPr>
        <w:t>级</w:t>
      </w:r>
      <w:r>
        <w:rPr>
          <w:rFonts w:hint="eastAsia"/>
          <w:bCs/>
          <w:kern w:val="2"/>
          <w:sz w:val="24"/>
          <w:szCs w:val="24"/>
        </w:rPr>
        <w:t>;</w:t>
      </w:r>
    </w:p>
    <w:p w14:paraId="5223826D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9</w:t>
      </w:r>
      <w:r>
        <w:rPr>
          <w:rFonts w:hint="eastAsia"/>
          <w:bCs/>
          <w:kern w:val="2"/>
          <w:sz w:val="24"/>
          <w:szCs w:val="24"/>
        </w:rPr>
        <w:t>：所有插座通孔开</w:t>
      </w:r>
      <w:r>
        <w:rPr>
          <w:rFonts w:hint="eastAsia"/>
          <w:bCs/>
          <w:kern w:val="2"/>
          <w:sz w:val="24"/>
          <w:szCs w:val="24"/>
        </w:rPr>
        <w:t>R0.2</w:t>
      </w:r>
      <w:r>
        <w:rPr>
          <w:rFonts w:hint="eastAsia"/>
          <w:bCs/>
          <w:kern w:val="2"/>
          <w:sz w:val="24"/>
          <w:szCs w:val="24"/>
        </w:rPr>
        <w:t>圆角，所有插座通孔和螺纹孔对插座外端面的垂直度为</w:t>
      </w:r>
      <w:r>
        <w:rPr>
          <w:rFonts w:hint="eastAsia"/>
          <w:bCs/>
          <w:kern w:val="2"/>
          <w:sz w:val="24"/>
          <w:szCs w:val="24"/>
        </w:rPr>
        <w:t>0.025</w:t>
      </w:r>
      <w:r>
        <w:rPr>
          <w:rFonts w:hint="eastAsia"/>
          <w:bCs/>
          <w:kern w:val="2"/>
          <w:sz w:val="24"/>
          <w:szCs w:val="24"/>
        </w:rPr>
        <w:t>。</w:t>
      </w:r>
    </w:p>
    <w:p w14:paraId="317BF1C9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成品要求：</w:t>
      </w:r>
    </w:p>
    <w:p w14:paraId="1662F710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#1</w:t>
      </w:r>
      <w:r>
        <w:rPr>
          <w:rFonts w:hint="eastAsia"/>
          <w:bCs/>
          <w:kern w:val="2"/>
          <w:sz w:val="24"/>
          <w:szCs w:val="24"/>
        </w:rPr>
        <w:t>：箱体成品需要经过表面喷砂处理；</w:t>
      </w:r>
    </w:p>
    <w:p w14:paraId="06574CEE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*2</w:t>
      </w:r>
      <w:r>
        <w:rPr>
          <w:rFonts w:hint="eastAsia"/>
          <w:bCs/>
          <w:kern w:val="2"/>
          <w:sz w:val="24"/>
          <w:szCs w:val="24"/>
        </w:rPr>
        <w:t>：箱体成品需要对所有焊接处采用无损检测，检测技术手段不少于</w:t>
      </w:r>
      <w:r>
        <w:rPr>
          <w:rFonts w:hint="eastAsia"/>
          <w:bCs/>
          <w:kern w:val="2"/>
          <w:sz w:val="24"/>
          <w:szCs w:val="24"/>
        </w:rPr>
        <w:t>2</w:t>
      </w:r>
      <w:r>
        <w:rPr>
          <w:rFonts w:hint="eastAsia"/>
          <w:bCs/>
          <w:kern w:val="2"/>
          <w:sz w:val="24"/>
          <w:szCs w:val="24"/>
        </w:rPr>
        <w:t>种，并出具检测报告。</w:t>
      </w:r>
    </w:p>
    <w:p w14:paraId="03BB6A5F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审查准入：</w:t>
      </w:r>
    </w:p>
    <w:p w14:paraId="24341BE0" w14:textId="77777777" w:rsidR="0051400E" w:rsidRDefault="00000000">
      <w:pPr>
        <w:widowControl w:val="0"/>
        <w:spacing w:line="360" w:lineRule="auto"/>
        <w:jc w:val="both"/>
        <w:rPr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</w:rPr>
        <w:t>#</w:t>
      </w:r>
      <w:r>
        <w:rPr>
          <w:rFonts w:hint="eastAsia"/>
          <w:b/>
          <w:kern w:val="2"/>
          <w:sz w:val="24"/>
          <w:szCs w:val="24"/>
        </w:rPr>
        <w:t>竞磋人需在此竞磋前发生至少一次的同类委托加工业绩（完成且验收）；未有同类业绩，或同类初次业绩尚未完成的，我方将根据竞磋情况，现场调整评分策略。</w:t>
      </w:r>
    </w:p>
    <w:p w14:paraId="724677BB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2.</w:t>
      </w:r>
      <w:r>
        <w:rPr>
          <w:rFonts w:hint="eastAsia"/>
          <w:b/>
          <w:kern w:val="2"/>
          <w:sz w:val="24"/>
          <w:szCs w:val="24"/>
        </w:rPr>
        <w:t>2</w:t>
      </w:r>
      <w:r>
        <w:rPr>
          <w:b/>
          <w:kern w:val="2"/>
          <w:sz w:val="24"/>
          <w:szCs w:val="24"/>
        </w:rPr>
        <w:t xml:space="preserve"> </w:t>
      </w:r>
      <w:r>
        <w:rPr>
          <w:rFonts w:hAnsi="宋体"/>
          <w:b/>
          <w:kern w:val="2"/>
          <w:sz w:val="24"/>
          <w:szCs w:val="24"/>
        </w:rPr>
        <w:t>服务</w:t>
      </w:r>
    </w:p>
    <w:p w14:paraId="146C2C16" w14:textId="77777777" w:rsidR="0051400E" w:rsidRDefault="00000000">
      <w:pPr>
        <w:widowControl w:val="0"/>
        <w:spacing w:line="360" w:lineRule="auto"/>
        <w:rPr>
          <w:rFonts w:hAnsi="宋体" w:hint="eastAsia"/>
          <w:color w:val="000000" w:themeColor="text1"/>
          <w:kern w:val="2"/>
          <w:sz w:val="24"/>
          <w:szCs w:val="24"/>
        </w:rPr>
      </w:pPr>
      <w:r>
        <w:rPr>
          <w:rFonts w:hAnsi="宋体" w:hint="eastAsia"/>
          <w:color w:val="000000" w:themeColor="text1"/>
          <w:kern w:val="2"/>
          <w:sz w:val="24"/>
          <w:szCs w:val="24"/>
        </w:rPr>
        <w:t>1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、到货后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1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周内，我方安排第三方检测机构进行水下压力测试（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70Mpa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，保压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2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小时），测试合格后即视产品为合格产品，若未通过则需厂家立即安排重新加工。</w:t>
      </w:r>
    </w:p>
    <w:p w14:paraId="14E3F1E1" w14:textId="77777777" w:rsidR="0051400E" w:rsidRDefault="00000000">
      <w:pPr>
        <w:widowControl w:val="0"/>
        <w:spacing w:line="360" w:lineRule="auto"/>
        <w:rPr>
          <w:color w:val="000000" w:themeColor="text1"/>
          <w:kern w:val="2"/>
          <w:sz w:val="24"/>
          <w:szCs w:val="24"/>
        </w:rPr>
      </w:pPr>
      <w:r>
        <w:rPr>
          <w:rFonts w:hAnsi="宋体" w:hint="eastAsia"/>
          <w:color w:val="000000" w:themeColor="text1"/>
          <w:kern w:val="2"/>
          <w:sz w:val="24"/>
          <w:szCs w:val="24"/>
        </w:rPr>
        <w:t>2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、整机质保期至少为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3</w:t>
      </w:r>
      <w:r>
        <w:rPr>
          <w:rFonts w:hAnsi="宋体" w:hint="eastAsia"/>
          <w:color w:val="000000" w:themeColor="text1"/>
          <w:kern w:val="2"/>
          <w:sz w:val="24"/>
          <w:szCs w:val="24"/>
        </w:rPr>
        <w:t>年，质保期内，在正常使用中发生的开焊，脱焊等情况，需要厂家重新加工新的箱体；同时，对造成我方及我方客户损失的，需要承担相应经济赔偿</w:t>
      </w:r>
      <w:r>
        <w:rPr>
          <w:rFonts w:hAnsi="宋体"/>
          <w:color w:val="000000" w:themeColor="text1"/>
          <w:kern w:val="2"/>
          <w:sz w:val="24"/>
          <w:szCs w:val="24"/>
        </w:rPr>
        <w:t>；</w:t>
      </w:r>
    </w:p>
    <w:p w14:paraId="18D6CAFE" w14:textId="77777777" w:rsidR="0051400E" w:rsidRDefault="00000000">
      <w:pPr>
        <w:widowControl w:val="0"/>
        <w:spacing w:line="360" w:lineRule="auto"/>
        <w:jc w:val="both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2.</w:t>
      </w:r>
      <w:r>
        <w:rPr>
          <w:rFonts w:hint="eastAsia"/>
          <w:b/>
          <w:kern w:val="2"/>
          <w:sz w:val="24"/>
          <w:szCs w:val="24"/>
        </w:rPr>
        <w:t>3</w:t>
      </w:r>
      <w:r>
        <w:rPr>
          <w:b/>
          <w:kern w:val="2"/>
          <w:sz w:val="24"/>
          <w:szCs w:val="24"/>
        </w:rPr>
        <w:t xml:space="preserve"> </w:t>
      </w:r>
      <w:r>
        <w:rPr>
          <w:rFonts w:hAnsi="宋体"/>
          <w:b/>
          <w:kern w:val="2"/>
          <w:sz w:val="24"/>
          <w:szCs w:val="24"/>
        </w:rPr>
        <w:t>安装培训</w:t>
      </w:r>
    </w:p>
    <w:p w14:paraId="51866F13" w14:textId="77777777" w:rsidR="0051400E" w:rsidRDefault="00000000">
      <w:pPr>
        <w:pStyle w:val="a5"/>
        <w:spacing w:line="360" w:lineRule="auto"/>
        <w:ind w:firstLineChars="200" w:firstLine="480"/>
        <w:outlineLvl w:val="0"/>
        <w:rPr>
          <w:kern w:val="2"/>
          <w:sz w:val="24"/>
          <w:szCs w:val="24"/>
        </w:rPr>
      </w:pPr>
      <w:r>
        <w:rPr>
          <w:rFonts w:hAnsi="宋体" w:hint="eastAsia"/>
          <w:kern w:val="2"/>
          <w:sz w:val="24"/>
          <w:szCs w:val="24"/>
        </w:rPr>
        <w:t>无</w:t>
      </w:r>
    </w:p>
    <w:p w14:paraId="2D600333" w14:textId="77777777" w:rsidR="0051400E" w:rsidRDefault="00000000">
      <w:pPr>
        <w:widowControl w:val="0"/>
        <w:numPr>
          <w:ilvl w:val="1"/>
          <w:numId w:val="2"/>
        </w:numPr>
        <w:spacing w:line="360" w:lineRule="auto"/>
        <w:jc w:val="both"/>
        <w:rPr>
          <w:b/>
          <w:kern w:val="2"/>
          <w:sz w:val="24"/>
          <w:szCs w:val="24"/>
        </w:rPr>
      </w:pPr>
      <w:r>
        <w:rPr>
          <w:rFonts w:hAnsi="宋体"/>
          <w:b/>
          <w:kern w:val="2"/>
          <w:sz w:val="24"/>
          <w:szCs w:val="24"/>
        </w:rPr>
        <w:t>随机的必备品、配件、技术资料等</w:t>
      </w:r>
    </w:p>
    <w:p w14:paraId="57677718" w14:textId="77777777" w:rsidR="0051400E" w:rsidRDefault="00000000">
      <w:pPr>
        <w:widowControl w:val="0"/>
        <w:tabs>
          <w:tab w:val="left" w:pos="420"/>
        </w:tabs>
        <w:spacing w:line="360" w:lineRule="auto"/>
        <w:ind w:right="28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、无损检测报告；</w:t>
      </w:r>
    </w:p>
    <w:p w14:paraId="3750BD12" w14:textId="77777777" w:rsidR="0051400E" w:rsidRDefault="00000000">
      <w:pPr>
        <w:widowControl w:val="0"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hAnsi="宋体"/>
          <w:kern w:val="2"/>
          <w:sz w:val="24"/>
          <w:szCs w:val="24"/>
        </w:rPr>
        <w:t>2</w:t>
      </w:r>
      <w:r>
        <w:rPr>
          <w:rFonts w:hAnsi="宋体" w:hint="eastAsia"/>
          <w:kern w:val="2"/>
          <w:sz w:val="24"/>
          <w:szCs w:val="24"/>
        </w:rPr>
        <w:t>、</w:t>
      </w:r>
      <w:r>
        <w:rPr>
          <w:rFonts w:hint="eastAsia"/>
          <w:sz w:val="24"/>
        </w:rPr>
        <w:t>装箱清单、产品合格证、易损件清单和图纸、备用件清单、</w:t>
      </w:r>
      <w:r>
        <w:rPr>
          <w:rFonts w:hAnsi="宋体"/>
          <w:kern w:val="2"/>
          <w:sz w:val="24"/>
          <w:szCs w:val="24"/>
        </w:rPr>
        <w:t>配件、工具、</w:t>
      </w:r>
      <w:r>
        <w:rPr>
          <w:rFonts w:hint="eastAsia"/>
          <w:sz w:val="24"/>
        </w:rPr>
        <w:t>等</w:t>
      </w:r>
      <w:r>
        <w:rPr>
          <w:rFonts w:hAnsi="宋体" w:hint="eastAsia"/>
          <w:kern w:val="2"/>
          <w:sz w:val="24"/>
          <w:szCs w:val="24"/>
        </w:rPr>
        <w:t>。</w:t>
      </w:r>
    </w:p>
    <w:p w14:paraId="2F721DDA" w14:textId="77777777" w:rsidR="0051400E" w:rsidRDefault="00000000">
      <w:pPr>
        <w:spacing w:after="60"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 w:hint="eastAsia"/>
          <w:b/>
          <w:bCs/>
          <w:sz w:val="24"/>
          <w:szCs w:val="24"/>
        </w:rPr>
        <w:t>竞磋的商务服务要求</w:t>
      </w:r>
    </w:p>
    <w:p w14:paraId="47F00485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 xml:space="preserve">3.1 </w:t>
      </w:r>
      <w:r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bCs/>
          <w:snapToGrid w:val="0"/>
          <w:sz w:val="24"/>
          <w:szCs w:val="24"/>
        </w:rPr>
        <w:t>人</w:t>
      </w:r>
      <w:r>
        <w:rPr>
          <w:rFonts w:ascii="宋体" w:hAnsi="宋体" w:hint="eastAsia"/>
          <w:snapToGrid w:val="0"/>
          <w:sz w:val="24"/>
          <w:szCs w:val="24"/>
        </w:rPr>
        <w:t>选用的原材料，需符合国家质量检测标准。</w:t>
      </w:r>
    </w:p>
    <w:p w14:paraId="5DEA315D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3.2 </w:t>
      </w:r>
      <w:r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bCs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需提供详细产品说明、工艺等资料。</w:t>
      </w:r>
    </w:p>
    <w:p w14:paraId="7C74AED3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3.3</w:t>
      </w:r>
      <w:r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bCs/>
          <w:snapToGrid w:val="0"/>
          <w:sz w:val="24"/>
          <w:szCs w:val="24"/>
        </w:rPr>
        <w:t>人</w:t>
      </w:r>
      <w:r>
        <w:rPr>
          <w:rFonts w:ascii="宋体" w:hAnsi="宋体" w:hint="eastAsia"/>
          <w:snapToGrid w:val="0"/>
          <w:sz w:val="24"/>
          <w:szCs w:val="24"/>
        </w:rPr>
        <w:t>应提供具体的响应时间不高于24小时。</w:t>
      </w:r>
    </w:p>
    <w:p w14:paraId="2363C007" w14:textId="5BDB09B1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lastRenderedPageBreak/>
        <w:t>3.4</w:t>
      </w:r>
      <w:bookmarkStart w:id="8" w:name="OLE_LINK1"/>
      <w:r>
        <w:rPr>
          <w:rFonts w:hint="eastAsia"/>
          <w:bCs/>
          <w:kern w:val="2"/>
          <w:sz w:val="24"/>
          <w:szCs w:val="24"/>
        </w:rPr>
        <w:t>竞磋</w:t>
      </w:r>
      <w:bookmarkEnd w:id="8"/>
      <w:r>
        <w:rPr>
          <w:rFonts w:ascii="宋体" w:hAnsi="宋体" w:hint="eastAsia"/>
          <w:snapToGrid w:val="0"/>
          <w:sz w:val="24"/>
          <w:szCs w:val="24"/>
        </w:rPr>
        <w:t>人所有报价均以送货到达现场（采购人指定地点）、安装、调试、验收合格的全部费用为准。如果</w:t>
      </w:r>
      <w:r w:rsidR="00A34E88"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snapToGrid w:val="0"/>
          <w:sz w:val="24"/>
          <w:szCs w:val="24"/>
        </w:rPr>
        <w:t>人所列出的设备配置，安装时附件有任何遗漏（包括竞磋文件中未列出而标的又需要的附件），则安装调试时</w:t>
      </w:r>
      <w:r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bCs/>
          <w:snapToGrid w:val="0"/>
          <w:sz w:val="24"/>
          <w:szCs w:val="24"/>
        </w:rPr>
        <w:t>人</w:t>
      </w:r>
      <w:r>
        <w:rPr>
          <w:rFonts w:ascii="宋体" w:hAnsi="宋体" w:hint="eastAsia"/>
          <w:snapToGrid w:val="0"/>
          <w:sz w:val="24"/>
          <w:szCs w:val="24"/>
        </w:rPr>
        <w:t>必须免费提供，采购人将不再支付任何费用。</w:t>
      </w:r>
    </w:p>
    <w:p w14:paraId="44CA8B42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3.5到货地点：山东省青岛市崂山区松岭路189号中国科学院青岛生物能源与过程研究所（或买方指定地点）。</w:t>
      </w:r>
    </w:p>
    <w:p w14:paraId="294D3E17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3.6到货时间：</w:t>
      </w:r>
      <w:r>
        <w:rPr>
          <w:rFonts w:ascii="宋体" w:hAnsi="宋体" w:hint="eastAsia"/>
          <w:sz w:val="24"/>
          <w:szCs w:val="24"/>
        </w:rPr>
        <w:t>签订合同后竞磋人可提供最快供货时间（</w:t>
      </w:r>
      <w:r>
        <w:rPr>
          <w:rFonts w:ascii="宋体" w:hAnsi="宋体" w:hint="eastAsia"/>
          <w:color w:val="FF0000"/>
          <w:sz w:val="24"/>
          <w:szCs w:val="24"/>
        </w:rPr>
        <w:t>具体按竞磋文件，合同签订后不超过45天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napToGrid w:val="0"/>
          <w:sz w:val="24"/>
          <w:szCs w:val="24"/>
        </w:rPr>
        <w:t>。</w:t>
      </w:r>
    </w:p>
    <w:p w14:paraId="1353CD67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3.7 外贸合同签订方：竞磋人要在</w:t>
      </w:r>
      <w:r>
        <w:rPr>
          <w:rFonts w:hint="eastAsia"/>
          <w:bCs/>
          <w:kern w:val="2"/>
          <w:sz w:val="24"/>
          <w:szCs w:val="24"/>
        </w:rPr>
        <w:t>竞磋</w:t>
      </w:r>
      <w:r>
        <w:rPr>
          <w:rFonts w:ascii="宋体" w:hAnsi="宋体" w:hint="eastAsia"/>
          <w:snapToGrid w:val="0"/>
          <w:sz w:val="24"/>
          <w:szCs w:val="24"/>
        </w:rPr>
        <w:t>文件当中明确外贸合同授予公司，并出具原厂授权。</w:t>
      </w:r>
    </w:p>
    <w:p w14:paraId="10FBA21E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3.8</w:t>
      </w:r>
      <w:r>
        <w:rPr>
          <w:rFonts w:ascii="宋体" w:hAnsi="宋体" w:hint="eastAsia"/>
          <w:sz w:val="24"/>
          <w:szCs w:val="24"/>
        </w:rPr>
        <w:t>付款方式：信用证或T/T方式，预付50%，验收后尾款50%。</w:t>
      </w:r>
      <w:r>
        <w:rPr>
          <w:rFonts w:ascii="宋体" w:hAnsi="宋体" w:hint="eastAsia"/>
          <w:snapToGrid w:val="0"/>
          <w:sz w:val="24"/>
          <w:szCs w:val="24"/>
        </w:rPr>
        <w:t xml:space="preserve"> </w:t>
      </w:r>
    </w:p>
    <w:p w14:paraId="20870722" w14:textId="77777777" w:rsidR="0051400E" w:rsidRDefault="00000000">
      <w:pPr>
        <w:tabs>
          <w:tab w:val="left" w:pos="900"/>
        </w:tabs>
        <w:adjustRightInd w:val="0"/>
        <w:spacing w:line="360" w:lineRule="auto"/>
        <w:rPr>
          <w:rFonts w:ascii="宋体" w:hAnsi="宋体" w:hint="eastAsia"/>
          <w:snapToGrid w:val="0"/>
          <w:sz w:val="24"/>
          <w:szCs w:val="24"/>
        </w:rPr>
      </w:pPr>
      <w:r>
        <w:rPr>
          <w:rFonts w:ascii="宋体" w:hAnsi="宋体" w:hint="eastAsia"/>
          <w:snapToGrid w:val="0"/>
          <w:sz w:val="24"/>
          <w:szCs w:val="24"/>
        </w:rPr>
        <w:t>3.9</w:t>
      </w:r>
      <w:r>
        <w:rPr>
          <w:rFonts w:ascii="宋体" w:hAnsi="宋体" w:hint="eastAsia"/>
          <w:b/>
          <w:snapToGrid w:val="0"/>
          <w:sz w:val="24"/>
          <w:szCs w:val="24"/>
        </w:rPr>
        <w:t>质量保证</w:t>
      </w:r>
      <w:r>
        <w:rPr>
          <w:rFonts w:ascii="宋体" w:hAnsi="宋体" w:hint="eastAsia"/>
          <w:snapToGrid w:val="0"/>
          <w:sz w:val="24"/>
          <w:szCs w:val="24"/>
        </w:rPr>
        <w:t>：</w:t>
      </w:r>
    </w:p>
    <w:p w14:paraId="77295999" w14:textId="77777777" w:rsidR="0051400E" w:rsidRDefault="00000000">
      <w:pPr>
        <w:tabs>
          <w:tab w:val="left" w:pos="900"/>
        </w:tabs>
        <w:spacing w:line="360" w:lineRule="auto"/>
        <w:ind w:left="426"/>
        <w:rPr>
          <w:rFonts w:ascii="宋体" w:hAnsi="宋体" w:hint="eastAsia"/>
          <w:bCs/>
          <w:snapToGrid w:val="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质保期：按竞磋人竞磋文件。</w:t>
      </w:r>
    </w:p>
    <w:p w14:paraId="085F2FE8" w14:textId="77777777" w:rsidR="0051400E" w:rsidRDefault="00000000">
      <w:pPr>
        <w:spacing w:line="360" w:lineRule="auto"/>
        <w:ind w:leftChars="-50" w:left="-100"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设备要求：（1）应重点考虑耐用性及稳定性；</w:t>
      </w:r>
    </w:p>
    <w:p w14:paraId="46BD8B5B" w14:textId="77777777" w:rsidR="0051400E" w:rsidRDefault="00000000">
      <w:pPr>
        <w:spacing w:line="360" w:lineRule="auto"/>
        <w:ind w:leftChars="650" w:left="1300"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（2）所有产品</w:t>
      </w:r>
      <w:r>
        <w:rPr>
          <w:rFonts w:ascii="宋体" w:hAnsi="宋体" w:hint="eastAsia"/>
          <w:sz w:val="24"/>
          <w:szCs w:val="24"/>
        </w:rPr>
        <w:t>供货时提供厂商设备备件保修登记在采购人验收合格后，签定验收合格书。</w:t>
      </w:r>
    </w:p>
    <w:p w14:paraId="7098051C" w14:textId="77777777" w:rsidR="0051400E" w:rsidRDefault="00000000">
      <w:pPr>
        <w:pStyle w:val="2"/>
        <w:spacing w:before="240" w:after="240" w:line="240" w:lineRule="auto"/>
        <w:rPr>
          <w:rFonts w:ascii="宋体" w:eastAsia="宋体" w:hAnsi="宋体" w:hint="eastAsia"/>
          <w:sz w:val="24"/>
          <w:szCs w:val="24"/>
        </w:rPr>
      </w:pPr>
      <w:bookmarkStart w:id="9" w:name="_Toc112643796"/>
      <w:bookmarkStart w:id="10" w:name="_Toc160245116"/>
      <w:bookmarkStart w:id="11" w:name="_Toc107292430"/>
      <w:r>
        <w:rPr>
          <w:rFonts w:ascii="宋体" w:eastAsia="宋体" w:hAnsi="宋体" w:hint="eastAsia"/>
          <w:sz w:val="24"/>
          <w:szCs w:val="24"/>
        </w:rPr>
        <w:t>四、 服务承诺</w:t>
      </w:r>
      <w:bookmarkEnd w:id="9"/>
      <w:bookmarkEnd w:id="10"/>
      <w:bookmarkEnd w:id="11"/>
    </w:p>
    <w:p w14:paraId="13090853" w14:textId="77777777" w:rsidR="0051400E" w:rsidRDefault="00000000">
      <w:pPr>
        <w:spacing w:line="360" w:lineRule="auto"/>
        <w:rPr>
          <w:rFonts w:ascii="宋体" w:hAnsi="宋体" w:hint="eastAsia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1、竞磋人须对竞磋文件中提出的服务内容和各项要求做出明确的承诺，说明是否可以达到相应的标准以及如何达到；</w:t>
      </w:r>
    </w:p>
    <w:p w14:paraId="5C910316" w14:textId="77777777" w:rsidR="0051400E" w:rsidRDefault="00000000">
      <w:pPr>
        <w:spacing w:line="400" w:lineRule="exact"/>
        <w:rPr>
          <w:rFonts w:ascii="宋体" w:hAnsi="宋体" w:hint="eastAsia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2、相关服务承诺必须真实可靠，否则，采购人有权向竞磋人追索损失。</w:t>
      </w:r>
    </w:p>
    <w:p w14:paraId="42303FE7" w14:textId="77777777" w:rsidR="0051400E" w:rsidRDefault="00000000">
      <w:pPr>
        <w:pStyle w:val="2"/>
        <w:spacing w:line="240" w:lineRule="auto"/>
        <w:rPr>
          <w:rFonts w:ascii="宋体" w:hAnsi="宋体" w:hint="eastAsia"/>
          <w:kern w:val="2"/>
          <w:sz w:val="24"/>
          <w:szCs w:val="24"/>
        </w:rPr>
      </w:pPr>
      <w:bookmarkStart w:id="12" w:name="_Toc112643797"/>
      <w:bookmarkStart w:id="13" w:name="_Toc160245117"/>
      <w:bookmarkStart w:id="14" w:name="_Toc107292431"/>
      <w:r>
        <w:rPr>
          <w:rFonts w:ascii="宋体" w:eastAsia="宋体" w:hAnsi="宋体" w:hint="eastAsia"/>
          <w:sz w:val="24"/>
          <w:szCs w:val="24"/>
        </w:rPr>
        <w:t xml:space="preserve">五、 </w:t>
      </w:r>
      <w:bookmarkStart w:id="15" w:name="_Toc160245118"/>
      <w:bookmarkEnd w:id="12"/>
      <w:bookmarkEnd w:id="13"/>
      <w:bookmarkEnd w:id="14"/>
      <w:r>
        <w:rPr>
          <w:rFonts w:ascii="宋体" w:eastAsia="宋体" w:hAnsi="宋体" w:hint="eastAsia"/>
          <w:sz w:val="24"/>
          <w:szCs w:val="24"/>
        </w:rPr>
        <w:t>优惠条件</w:t>
      </w:r>
      <w:bookmarkEnd w:id="7"/>
      <w:bookmarkEnd w:id="15"/>
    </w:p>
    <w:p w14:paraId="501063BF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1、竞磋人可根据自身条件，说明能够给予的优惠条件；</w:t>
      </w:r>
    </w:p>
    <w:p w14:paraId="1FCF86A2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2、这些优惠条件必须是符合国家规定的，与服务项目相关的内容；</w:t>
      </w:r>
    </w:p>
    <w:p w14:paraId="776CAC12" w14:textId="77777777" w:rsidR="0051400E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3、优惠条件部分的报价应包含在总报价内,不得以赠送的方式体现，如有免费内容，应将免费部分价格列明，并注明免费，此项不计入总价。</w:t>
      </w:r>
    </w:p>
    <w:p w14:paraId="1F1229B9" w14:textId="77777777" w:rsidR="0051400E" w:rsidRDefault="00000000">
      <w:pPr>
        <w:pStyle w:val="2"/>
        <w:spacing w:line="240" w:lineRule="auto"/>
        <w:rPr>
          <w:rFonts w:ascii="宋体" w:eastAsia="宋体" w:hAnsi="宋体" w:hint="eastAsia"/>
          <w:sz w:val="24"/>
          <w:szCs w:val="24"/>
        </w:rPr>
      </w:pPr>
      <w:bookmarkStart w:id="16" w:name="_Toc486842355"/>
      <w:bookmarkStart w:id="17" w:name="_Toc160245119"/>
      <w:r>
        <w:rPr>
          <w:rFonts w:ascii="宋体" w:eastAsia="宋体" w:hAnsi="宋体" w:hint="eastAsia"/>
          <w:sz w:val="24"/>
          <w:szCs w:val="24"/>
        </w:rPr>
        <w:lastRenderedPageBreak/>
        <w:t>六、 其他服务</w:t>
      </w:r>
      <w:bookmarkEnd w:id="16"/>
      <w:bookmarkEnd w:id="17"/>
    </w:p>
    <w:p w14:paraId="16D7695D" w14:textId="77777777" w:rsidR="0051400E" w:rsidRDefault="00000000">
      <w:pPr>
        <w:spacing w:line="360" w:lineRule="auto"/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除采购人提出的各项服务要求外，竞磋人可根据本行业务的开展情况说明可提供的其他扩展服务。</w:t>
      </w:r>
    </w:p>
    <w:p w14:paraId="60F1CF61" w14:textId="77777777" w:rsidR="0051400E" w:rsidRDefault="00000000">
      <w:pPr>
        <w:pStyle w:val="2"/>
        <w:spacing w:afterLines="50" w:after="156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eastAsia"/>
          <w:sz w:val="24"/>
          <w:szCs w:val="24"/>
        </w:rPr>
        <w:t>七、竞磋附件</w:t>
      </w:r>
    </w:p>
    <w:p w14:paraId="37AD97BA" w14:textId="77777777" w:rsidR="0051400E" w:rsidRDefault="00000000">
      <w:pPr>
        <w:pStyle w:val="2"/>
        <w:spacing w:afterLines="50" w:after="156" w:line="240" w:lineRule="auto"/>
        <w:ind w:firstLine="241"/>
        <w:jc w:val="center"/>
        <w:rPr>
          <w:rFonts w:ascii="Bookman Old Style" w:hAnsi="Bookman Old Style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、竞磋</w:t>
      </w:r>
      <w:r>
        <w:t>报价表</w:t>
      </w:r>
    </w:p>
    <w:tbl>
      <w:tblPr>
        <w:tblW w:w="9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960"/>
        <w:gridCol w:w="1320"/>
        <w:gridCol w:w="1080"/>
        <w:gridCol w:w="3720"/>
      </w:tblGrid>
      <w:tr w:rsidR="0051400E" w14:paraId="21E65378" w14:textId="77777777">
        <w:tc>
          <w:tcPr>
            <w:tcW w:w="2188" w:type="dxa"/>
          </w:tcPr>
          <w:p w14:paraId="19A28C18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960" w:type="dxa"/>
          </w:tcPr>
          <w:p w14:paraId="0BE5402D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320" w:type="dxa"/>
          </w:tcPr>
          <w:p w14:paraId="74DBAE73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80" w:type="dxa"/>
          </w:tcPr>
          <w:p w14:paraId="2AC06325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720" w:type="dxa"/>
          </w:tcPr>
          <w:p w14:paraId="31A8558A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5</w:t>
            </w:r>
          </w:p>
        </w:tc>
      </w:tr>
      <w:tr w:rsidR="0051400E" w14:paraId="24F5CADE" w14:textId="77777777">
        <w:tc>
          <w:tcPr>
            <w:tcW w:w="2188" w:type="dxa"/>
            <w:vAlign w:val="center"/>
          </w:tcPr>
          <w:p w14:paraId="1C1CEF3F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货物名称、型号</w:t>
            </w:r>
          </w:p>
        </w:tc>
        <w:tc>
          <w:tcPr>
            <w:tcW w:w="960" w:type="dxa"/>
            <w:vAlign w:val="center"/>
          </w:tcPr>
          <w:p w14:paraId="1D1316C3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数量</w:t>
            </w:r>
          </w:p>
        </w:tc>
        <w:tc>
          <w:tcPr>
            <w:tcW w:w="1320" w:type="dxa"/>
            <w:vAlign w:val="center"/>
          </w:tcPr>
          <w:p w14:paraId="005CE646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原产地</w:t>
            </w:r>
          </w:p>
        </w:tc>
        <w:tc>
          <w:tcPr>
            <w:tcW w:w="1080" w:type="dxa"/>
            <w:vAlign w:val="center"/>
          </w:tcPr>
          <w:p w14:paraId="06FABE16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 w:hint="eastAsia"/>
                <w:szCs w:val="24"/>
              </w:rPr>
              <w:t>单价</w:t>
            </w:r>
          </w:p>
        </w:tc>
        <w:tc>
          <w:tcPr>
            <w:tcW w:w="3720" w:type="dxa"/>
            <w:vAlign w:val="center"/>
          </w:tcPr>
          <w:p w14:paraId="5C5AFD60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29B73A9D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 w:hint="eastAsia"/>
                <w:szCs w:val="24"/>
              </w:rPr>
              <w:t>竞磋价格</w:t>
            </w:r>
          </w:p>
          <w:p w14:paraId="75504F0E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1400E" w14:paraId="777114B8" w14:textId="77777777">
        <w:trPr>
          <w:trHeight w:val="735"/>
        </w:trPr>
        <w:tc>
          <w:tcPr>
            <w:tcW w:w="2188" w:type="dxa"/>
          </w:tcPr>
          <w:p w14:paraId="04746704" w14:textId="77777777" w:rsidR="0051400E" w:rsidRDefault="0051400E">
            <w:pPr>
              <w:spacing w:afterLines="50" w:after="156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960" w:type="dxa"/>
          </w:tcPr>
          <w:p w14:paraId="00A0B90F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320" w:type="dxa"/>
          </w:tcPr>
          <w:p w14:paraId="30E81532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080" w:type="dxa"/>
          </w:tcPr>
          <w:p w14:paraId="5281E11A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720" w:type="dxa"/>
          </w:tcPr>
          <w:p w14:paraId="5BA581CA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1400E" w14:paraId="568943D6" w14:textId="77777777">
        <w:trPr>
          <w:trHeight w:val="827"/>
        </w:trPr>
        <w:tc>
          <w:tcPr>
            <w:tcW w:w="2188" w:type="dxa"/>
          </w:tcPr>
          <w:p w14:paraId="4834DE17" w14:textId="77777777" w:rsidR="0051400E" w:rsidRDefault="0051400E">
            <w:pPr>
              <w:spacing w:afterLines="50" w:after="156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960" w:type="dxa"/>
          </w:tcPr>
          <w:p w14:paraId="2F38ECF3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320" w:type="dxa"/>
          </w:tcPr>
          <w:p w14:paraId="35E702E4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080" w:type="dxa"/>
          </w:tcPr>
          <w:p w14:paraId="7A66ABC8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720" w:type="dxa"/>
          </w:tcPr>
          <w:p w14:paraId="4FD91862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1400E" w14:paraId="0BC72FDD" w14:textId="77777777">
        <w:trPr>
          <w:trHeight w:val="857"/>
        </w:trPr>
        <w:tc>
          <w:tcPr>
            <w:tcW w:w="2188" w:type="dxa"/>
          </w:tcPr>
          <w:p w14:paraId="6AFC5995" w14:textId="77777777" w:rsidR="0051400E" w:rsidRDefault="0051400E">
            <w:pPr>
              <w:spacing w:afterLines="50" w:after="156"/>
              <w:rPr>
                <w:rFonts w:ascii="Bookman Old Style" w:hAnsi="Bookman Old Style"/>
                <w:szCs w:val="24"/>
              </w:rPr>
            </w:pPr>
          </w:p>
          <w:p w14:paraId="6E059818" w14:textId="77777777" w:rsidR="0051400E" w:rsidRDefault="0051400E">
            <w:pPr>
              <w:spacing w:afterLines="50" w:after="156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960" w:type="dxa"/>
          </w:tcPr>
          <w:p w14:paraId="67A8D15E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320" w:type="dxa"/>
          </w:tcPr>
          <w:p w14:paraId="5274FEB4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080" w:type="dxa"/>
          </w:tcPr>
          <w:p w14:paraId="6D5C2D62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720" w:type="dxa"/>
          </w:tcPr>
          <w:p w14:paraId="0445FB52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1400E" w14:paraId="296A0FCC" w14:textId="77777777">
        <w:trPr>
          <w:cantSplit/>
          <w:trHeight w:val="566"/>
        </w:trPr>
        <w:tc>
          <w:tcPr>
            <w:tcW w:w="9268" w:type="dxa"/>
            <w:gridSpan w:val="5"/>
          </w:tcPr>
          <w:p w14:paraId="7383F82A" w14:textId="77777777" w:rsidR="0051400E" w:rsidRDefault="00000000">
            <w:pPr>
              <w:spacing w:afterLines="50" w:after="156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其它声明或备注：</w:t>
            </w:r>
          </w:p>
          <w:p w14:paraId="28D45D05" w14:textId="77777777" w:rsidR="0051400E" w:rsidRDefault="00000000">
            <w:pPr>
              <w:spacing w:afterLines="50" w:after="156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 w:hint="eastAsia"/>
                <w:szCs w:val="24"/>
              </w:rPr>
              <w:t>合计报价：</w:t>
            </w:r>
          </w:p>
          <w:p w14:paraId="760142BC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</w:tr>
    </w:tbl>
    <w:p w14:paraId="64ECD55B" w14:textId="77777777" w:rsidR="0051400E" w:rsidRDefault="00000000">
      <w:pPr>
        <w:spacing w:afterLines="50" w:after="156"/>
        <w:rPr>
          <w:rFonts w:ascii="Bookman Old Style" w:hAnsi="Bookman Old Style"/>
          <w:szCs w:val="24"/>
        </w:rPr>
      </w:pPr>
      <w:r>
        <w:rPr>
          <w:rFonts w:ascii="Bookman Old Style" w:hAnsi="Bookman Old Style" w:hint="eastAsia"/>
          <w:szCs w:val="24"/>
        </w:rPr>
        <w:t>报价</w:t>
      </w:r>
      <w:r>
        <w:rPr>
          <w:rFonts w:ascii="Bookman Old Style" w:hAnsi="Bookman Old Style"/>
          <w:szCs w:val="24"/>
        </w:rPr>
        <w:t>人签字：</w:t>
      </w:r>
      <w:r>
        <w:rPr>
          <w:rFonts w:ascii="Bookman Old Style" w:hAnsi="Bookman Old Style"/>
          <w:szCs w:val="24"/>
          <w:u w:val="single"/>
        </w:rPr>
        <w:t xml:space="preserve">                   </w:t>
      </w:r>
    </w:p>
    <w:p w14:paraId="6CC1F280" w14:textId="77777777" w:rsidR="0051400E" w:rsidRDefault="00000000">
      <w:pPr>
        <w:spacing w:afterLines="50" w:after="15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注：</w:t>
      </w:r>
      <w:r>
        <w:rPr>
          <w:rFonts w:ascii="Bookman Old Style" w:hAnsi="Bookman Old Style" w:hint="eastAsia"/>
          <w:szCs w:val="24"/>
        </w:rPr>
        <w:t>竞磋</w:t>
      </w:r>
      <w:r>
        <w:rPr>
          <w:rFonts w:ascii="Bookman Old Style" w:hAnsi="Bookman Old Style"/>
          <w:szCs w:val="24"/>
        </w:rPr>
        <w:t>人应自行编制提供报价明细表。</w:t>
      </w:r>
    </w:p>
    <w:p w14:paraId="67810EA9" w14:textId="77777777" w:rsidR="0051400E" w:rsidRDefault="00000000">
      <w:pPr>
        <w:spacing w:afterLines="50" w:after="156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  <w:r>
        <w:rPr>
          <w:rFonts w:ascii="Bookman Old Style" w:hAnsi="Bookman Old Style"/>
          <w:szCs w:val="24"/>
        </w:rPr>
        <w:lastRenderedPageBreak/>
        <w:t xml:space="preserve">       </w:t>
      </w:r>
    </w:p>
    <w:p w14:paraId="5D1C5477" w14:textId="77777777" w:rsidR="0051400E" w:rsidRDefault="00000000">
      <w:pPr>
        <w:pStyle w:val="2"/>
        <w:spacing w:afterLines="50" w:after="156" w:line="240" w:lineRule="auto"/>
        <w:ind w:firstLine="241"/>
        <w:jc w:val="center"/>
      </w:pPr>
      <w:bookmarkStart w:id="18" w:name="_Toc214467856"/>
      <w:bookmarkStart w:id="19" w:name="_Toc67804474"/>
      <w:bookmarkStart w:id="20" w:name="_Toc67796639"/>
      <w:r>
        <w:rPr>
          <w:rFonts w:hint="eastAsia"/>
        </w:rPr>
        <w:t>2</w:t>
      </w:r>
      <w:r>
        <w:t>．</w:t>
      </w:r>
      <w:r>
        <w:t xml:space="preserve">  </w:t>
      </w:r>
      <w:r>
        <w:rPr>
          <w:rFonts w:hint="eastAsia"/>
        </w:rPr>
        <w:t>技术</w:t>
      </w:r>
      <w:r>
        <w:t>响应表</w:t>
      </w:r>
      <w:bookmarkEnd w:id="18"/>
      <w:bookmarkEnd w:id="19"/>
      <w:bookmarkEnd w:id="2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2640"/>
        <w:gridCol w:w="2822"/>
        <w:gridCol w:w="2310"/>
      </w:tblGrid>
      <w:tr w:rsidR="0051400E" w14:paraId="4C8E601B" w14:textId="77777777">
        <w:tc>
          <w:tcPr>
            <w:tcW w:w="1468" w:type="dxa"/>
          </w:tcPr>
          <w:p w14:paraId="22E148BA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规格编号</w:t>
            </w:r>
          </w:p>
        </w:tc>
        <w:tc>
          <w:tcPr>
            <w:tcW w:w="2640" w:type="dxa"/>
          </w:tcPr>
          <w:p w14:paraId="37AFC5D6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要求规格</w:t>
            </w:r>
          </w:p>
        </w:tc>
        <w:tc>
          <w:tcPr>
            <w:tcW w:w="2822" w:type="dxa"/>
          </w:tcPr>
          <w:p w14:paraId="6D457A68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 w:hint="eastAsia"/>
                <w:szCs w:val="24"/>
              </w:rPr>
              <w:t>竞磋</w:t>
            </w:r>
            <w:r>
              <w:rPr>
                <w:rFonts w:ascii="Bookman Old Style" w:hAnsi="Bookman Old Style"/>
                <w:szCs w:val="24"/>
              </w:rPr>
              <w:t>规格</w:t>
            </w:r>
          </w:p>
        </w:tc>
        <w:tc>
          <w:tcPr>
            <w:tcW w:w="2310" w:type="dxa"/>
          </w:tcPr>
          <w:p w14:paraId="1D75D58E" w14:textId="77777777" w:rsidR="0051400E" w:rsidRDefault="00000000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备注</w:t>
            </w:r>
          </w:p>
        </w:tc>
      </w:tr>
      <w:tr w:rsidR="0051400E" w14:paraId="088A4ECB" w14:textId="77777777">
        <w:tc>
          <w:tcPr>
            <w:tcW w:w="1468" w:type="dxa"/>
          </w:tcPr>
          <w:p w14:paraId="0D09DC81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4E5CFB88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602A72DC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578555AF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31350CC4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5B378E26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7D552490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4668A392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3757EA3C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42C1E39A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234562B0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37E7C850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  <w:p w14:paraId="51FC7EC0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640" w:type="dxa"/>
          </w:tcPr>
          <w:p w14:paraId="5E9775D9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822" w:type="dxa"/>
          </w:tcPr>
          <w:p w14:paraId="7390E776" w14:textId="77777777" w:rsidR="0051400E" w:rsidRDefault="0051400E">
            <w:pPr>
              <w:spacing w:afterLines="50" w:after="156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10" w:type="dxa"/>
          </w:tcPr>
          <w:p w14:paraId="190C8DB6" w14:textId="77777777" w:rsidR="0051400E" w:rsidRDefault="0051400E">
            <w:pPr>
              <w:spacing w:afterLines="50" w:after="156"/>
              <w:jc w:val="both"/>
              <w:rPr>
                <w:rFonts w:ascii="Bookman Old Style" w:hAnsi="Bookman Old Style"/>
                <w:szCs w:val="24"/>
              </w:rPr>
            </w:pPr>
          </w:p>
          <w:p w14:paraId="11A52BB4" w14:textId="77777777" w:rsidR="0051400E" w:rsidRDefault="00000000">
            <w:pPr>
              <w:spacing w:afterLines="50" w:after="156"/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（注明</w:t>
            </w:r>
            <w:r>
              <w:rPr>
                <w:rFonts w:ascii="Bookman Old Style" w:hAnsi="Bookman Old Style" w:hint="eastAsia"/>
                <w:szCs w:val="24"/>
              </w:rPr>
              <w:t>竞磋</w:t>
            </w:r>
            <w:r>
              <w:rPr>
                <w:rFonts w:ascii="Bookman Old Style" w:hAnsi="Bookman Old Style"/>
                <w:szCs w:val="24"/>
              </w:rPr>
              <w:t>规格与要求规格的差异或其它有关内容）</w:t>
            </w:r>
          </w:p>
        </w:tc>
      </w:tr>
    </w:tbl>
    <w:p w14:paraId="3CFD7047" w14:textId="77777777" w:rsidR="0051400E" w:rsidRDefault="0051400E">
      <w:pPr>
        <w:spacing w:afterLines="50" w:after="156"/>
        <w:rPr>
          <w:rFonts w:ascii="Bookman Old Style" w:hAnsi="Bookman Old Style"/>
          <w:szCs w:val="24"/>
        </w:rPr>
      </w:pPr>
    </w:p>
    <w:p w14:paraId="61C925EA" w14:textId="77777777" w:rsidR="0051400E" w:rsidRDefault="00000000">
      <w:pPr>
        <w:spacing w:afterLines="50" w:after="156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 w:hint="eastAsia"/>
          <w:szCs w:val="24"/>
        </w:rPr>
        <w:t>竞磋</w:t>
      </w:r>
      <w:r>
        <w:rPr>
          <w:rFonts w:ascii="Bookman Old Style" w:hAnsi="Bookman Old Style"/>
          <w:szCs w:val="24"/>
        </w:rPr>
        <w:t>人签字：</w:t>
      </w:r>
      <w:r>
        <w:rPr>
          <w:rFonts w:ascii="Bookman Old Style" w:hAnsi="Bookman Old Style"/>
          <w:szCs w:val="24"/>
          <w:u w:val="single"/>
        </w:rPr>
        <w:t xml:space="preserve">                 </w:t>
      </w:r>
    </w:p>
    <w:p w14:paraId="7CC05ED7" w14:textId="77777777" w:rsidR="0051400E" w:rsidRDefault="00000000">
      <w:pPr>
        <w:pStyle w:val="21"/>
        <w:spacing w:afterLines="50" w:after="156" w:line="240" w:lineRule="auto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</w:rPr>
        <w:t>竞磋</w:t>
      </w:r>
      <w:r>
        <w:rPr>
          <w:sz w:val="24"/>
          <w:szCs w:val="24"/>
        </w:rPr>
        <w:t>人除对产品技术指标要求和技术服务要求逐项应答外，需同时对交货时间、目的港等有关要求进行应答。</w:t>
      </w:r>
    </w:p>
    <w:p w14:paraId="7B036054" w14:textId="77777777" w:rsidR="0051400E" w:rsidRDefault="0051400E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4B936B07" w14:textId="77777777" w:rsidR="0051400E" w:rsidRDefault="0051400E"/>
    <w:sectPr w:rsidR="0051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BA23" w14:textId="77777777" w:rsidR="00D92BC0" w:rsidRDefault="00D92BC0" w:rsidP="00A34E88">
      <w:r>
        <w:separator/>
      </w:r>
    </w:p>
  </w:endnote>
  <w:endnote w:type="continuationSeparator" w:id="0">
    <w:p w14:paraId="295C4E67" w14:textId="77777777" w:rsidR="00D92BC0" w:rsidRDefault="00D92BC0" w:rsidP="00A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CBAC" w14:textId="77777777" w:rsidR="00D92BC0" w:rsidRDefault="00D92BC0" w:rsidP="00A34E88">
      <w:r>
        <w:separator/>
      </w:r>
    </w:p>
  </w:footnote>
  <w:footnote w:type="continuationSeparator" w:id="0">
    <w:p w14:paraId="31671171" w14:textId="77777777" w:rsidR="00D92BC0" w:rsidRDefault="00D92BC0" w:rsidP="00A3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791"/>
    <w:multiLevelType w:val="multilevel"/>
    <w:tmpl w:val="018A3791"/>
    <w:lvl w:ilvl="0">
      <w:start w:val="1"/>
      <w:numFmt w:val="chineseCountingThousand"/>
      <w:pStyle w:val="HKM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3118" w:hanging="567"/>
      </w:pPr>
      <w:rPr>
        <w:rFonts w:hint="eastAsia"/>
        <w:b w:val="0"/>
      </w:rPr>
    </w:lvl>
    <w:lvl w:ilvl="3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6203190"/>
    <w:multiLevelType w:val="multilevel"/>
    <w:tmpl w:val="66203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5191950">
    <w:abstractNumId w:val="0"/>
  </w:num>
  <w:num w:numId="2" w16cid:durableId="112539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wOGJhNDc5NDNmZjNkNjE5MmE0MmUxOTM2NDc0NGEifQ=="/>
  </w:docVars>
  <w:rsids>
    <w:rsidRoot w:val="00DE0293"/>
    <w:rsid w:val="000019D1"/>
    <w:rsid w:val="00006BE1"/>
    <w:rsid w:val="00011588"/>
    <w:rsid w:val="0001220C"/>
    <w:rsid w:val="00013347"/>
    <w:rsid w:val="00014A5D"/>
    <w:rsid w:val="00016195"/>
    <w:rsid w:val="00030649"/>
    <w:rsid w:val="000315BE"/>
    <w:rsid w:val="00045606"/>
    <w:rsid w:val="00050123"/>
    <w:rsid w:val="000564AA"/>
    <w:rsid w:val="00060C5B"/>
    <w:rsid w:val="000625EF"/>
    <w:rsid w:val="00065DAC"/>
    <w:rsid w:val="00073333"/>
    <w:rsid w:val="00076A4A"/>
    <w:rsid w:val="00083273"/>
    <w:rsid w:val="00085AC4"/>
    <w:rsid w:val="000A41F3"/>
    <w:rsid w:val="000B4069"/>
    <w:rsid w:val="000C24D9"/>
    <w:rsid w:val="000E3496"/>
    <w:rsid w:val="000F475F"/>
    <w:rsid w:val="00103D33"/>
    <w:rsid w:val="001145E5"/>
    <w:rsid w:val="00121088"/>
    <w:rsid w:val="001227CC"/>
    <w:rsid w:val="001347AB"/>
    <w:rsid w:val="001414C6"/>
    <w:rsid w:val="00141692"/>
    <w:rsid w:val="00143A16"/>
    <w:rsid w:val="00147865"/>
    <w:rsid w:val="001509D9"/>
    <w:rsid w:val="00152B3F"/>
    <w:rsid w:val="00154415"/>
    <w:rsid w:val="00155FEC"/>
    <w:rsid w:val="0015766B"/>
    <w:rsid w:val="00160832"/>
    <w:rsid w:val="00164050"/>
    <w:rsid w:val="0016479A"/>
    <w:rsid w:val="00167E64"/>
    <w:rsid w:val="00172D60"/>
    <w:rsid w:val="00172D98"/>
    <w:rsid w:val="00173744"/>
    <w:rsid w:val="00174185"/>
    <w:rsid w:val="00175055"/>
    <w:rsid w:val="00180B41"/>
    <w:rsid w:val="00185EE6"/>
    <w:rsid w:val="00186B73"/>
    <w:rsid w:val="001A04FA"/>
    <w:rsid w:val="001A0B1C"/>
    <w:rsid w:val="001A17EC"/>
    <w:rsid w:val="001B0B4C"/>
    <w:rsid w:val="001B0C8C"/>
    <w:rsid w:val="001B7E5B"/>
    <w:rsid w:val="001C1D8E"/>
    <w:rsid w:val="001D7DA2"/>
    <w:rsid w:val="001E3A8A"/>
    <w:rsid w:val="001F4F1C"/>
    <w:rsid w:val="00207DE7"/>
    <w:rsid w:val="00213E0C"/>
    <w:rsid w:val="002151E3"/>
    <w:rsid w:val="0022446C"/>
    <w:rsid w:val="00237704"/>
    <w:rsid w:val="00240C8B"/>
    <w:rsid w:val="00247282"/>
    <w:rsid w:val="00252E9C"/>
    <w:rsid w:val="00256687"/>
    <w:rsid w:val="00260B13"/>
    <w:rsid w:val="002742AC"/>
    <w:rsid w:val="00277788"/>
    <w:rsid w:val="00283B6F"/>
    <w:rsid w:val="0029363E"/>
    <w:rsid w:val="00294C30"/>
    <w:rsid w:val="002958C6"/>
    <w:rsid w:val="0029691D"/>
    <w:rsid w:val="002A1B99"/>
    <w:rsid w:val="002A2FCD"/>
    <w:rsid w:val="002B2EDF"/>
    <w:rsid w:val="002C5418"/>
    <w:rsid w:val="002E6307"/>
    <w:rsid w:val="002F0842"/>
    <w:rsid w:val="002F0B36"/>
    <w:rsid w:val="002F577A"/>
    <w:rsid w:val="0031313F"/>
    <w:rsid w:val="00320ED6"/>
    <w:rsid w:val="00321353"/>
    <w:rsid w:val="00364459"/>
    <w:rsid w:val="00373DA6"/>
    <w:rsid w:val="00373FF4"/>
    <w:rsid w:val="003753B0"/>
    <w:rsid w:val="00375ACC"/>
    <w:rsid w:val="0038224E"/>
    <w:rsid w:val="003B5423"/>
    <w:rsid w:val="003C695F"/>
    <w:rsid w:val="003E418B"/>
    <w:rsid w:val="003F3E50"/>
    <w:rsid w:val="003F4667"/>
    <w:rsid w:val="003F4EB2"/>
    <w:rsid w:val="0040267C"/>
    <w:rsid w:val="0040496F"/>
    <w:rsid w:val="00405B1D"/>
    <w:rsid w:val="00405CB5"/>
    <w:rsid w:val="00414CAD"/>
    <w:rsid w:val="00416DE5"/>
    <w:rsid w:val="0042794B"/>
    <w:rsid w:val="00451174"/>
    <w:rsid w:val="00460149"/>
    <w:rsid w:val="004718EE"/>
    <w:rsid w:val="0048387C"/>
    <w:rsid w:val="004A006E"/>
    <w:rsid w:val="004B64AF"/>
    <w:rsid w:val="004C7C69"/>
    <w:rsid w:val="004D0B12"/>
    <w:rsid w:val="004E1E27"/>
    <w:rsid w:val="004E76DC"/>
    <w:rsid w:val="00500F13"/>
    <w:rsid w:val="0051400E"/>
    <w:rsid w:val="00524054"/>
    <w:rsid w:val="005242D0"/>
    <w:rsid w:val="00527D66"/>
    <w:rsid w:val="00534DEF"/>
    <w:rsid w:val="005441D3"/>
    <w:rsid w:val="00557875"/>
    <w:rsid w:val="00560302"/>
    <w:rsid w:val="00560CEF"/>
    <w:rsid w:val="00567949"/>
    <w:rsid w:val="00571D3D"/>
    <w:rsid w:val="00581B62"/>
    <w:rsid w:val="00581E8A"/>
    <w:rsid w:val="005962F3"/>
    <w:rsid w:val="005A6936"/>
    <w:rsid w:val="005B0614"/>
    <w:rsid w:val="005B1F02"/>
    <w:rsid w:val="005B2162"/>
    <w:rsid w:val="005B278D"/>
    <w:rsid w:val="005B4473"/>
    <w:rsid w:val="005C3532"/>
    <w:rsid w:val="005D3BBD"/>
    <w:rsid w:val="005D6D96"/>
    <w:rsid w:val="005E7D06"/>
    <w:rsid w:val="005F4720"/>
    <w:rsid w:val="005F5ADF"/>
    <w:rsid w:val="00601A73"/>
    <w:rsid w:val="006041B6"/>
    <w:rsid w:val="00606114"/>
    <w:rsid w:val="00607740"/>
    <w:rsid w:val="00621EA3"/>
    <w:rsid w:val="00633494"/>
    <w:rsid w:val="00634FBE"/>
    <w:rsid w:val="0063535F"/>
    <w:rsid w:val="00637BF1"/>
    <w:rsid w:val="00646AF8"/>
    <w:rsid w:val="00646EB7"/>
    <w:rsid w:val="006634AD"/>
    <w:rsid w:val="00665731"/>
    <w:rsid w:val="00681FFE"/>
    <w:rsid w:val="00685751"/>
    <w:rsid w:val="0069201D"/>
    <w:rsid w:val="006971F3"/>
    <w:rsid w:val="006A39BF"/>
    <w:rsid w:val="006C7763"/>
    <w:rsid w:val="006D224F"/>
    <w:rsid w:val="006D45BB"/>
    <w:rsid w:val="006D558A"/>
    <w:rsid w:val="006D613F"/>
    <w:rsid w:val="006E5243"/>
    <w:rsid w:val="006E6575"/>
    <w:rsid w:val="006F34D3"/>
    <w:rsid w:val="0070377E"/>
    <w:rsid w:val="00717029"/>
    <w:rsid w:val="00724612"/>
    <w:rsid w:val="00730DC9"/>
    <w:rsid w:val="00733B1E"/>
    <w:rsid w:val="007415DD"/>
    <w:rsid w:val="00751760"/>
    <w:rsid w:val="0075643B"/>
    <w:rsid w:val="00766805"/>
    <w:rsid w:val="00766BA9"/>
    <w:rsid w:val="00774C17"/>
    <w:rsid w:val="00784E78"/>
    <w:rsid w:val="0078789C"/>
    <w:rsid w:val="007A6B84"/>
    <w:rsid w:val="007B7E37"/>
    <w:rsid w:val="007C6BAF"/>
    <w:rsid w:val="007C6E0E"/>
    <w:rsid w:val="007E3B62"/>
    <w:rsid w:val="00802B35"/>
    <w:rsid w:val="00804FCB"/>
    <w:rsid w:val="008128F2"/>
    <w:rsid w:val="00824648"/>
    <w:rsid w:val="00845744"/>
    <w:rsid w:val="00854E30"/>
    <w:rsid w:val="0085621D"/>
    <w:rsid w:val="00863DA7"/>
    <w:rsid w:val="0086463C"/>
    <w:rsid w:val="00870D15"/>
    <w:rsid w:val="00872551"/>
    <w:rsid w:val="008A29B7"/>
    <w:rsid w:val="008F019B"/>
    <w:rsid w:val="008F0476"/>
    <w:rsid w:val="008F0AB1"/>
    <w:rsid w:val="008F36D6"/>
    <w:rsid w:val="008F3D1C"/>
    <w:rsid w:val="00904EA3"/>
    <w:rsid w:val="0091509B"/>
    <w:rsid w:val="00920A59"/>
    <w:rsid w:val="0092186E"/>
    <w:rsid w:val="0092383C"/>
    <w:rsid w:val="00927D38"/>
    <w:rsid w:val="0094368E"/>
    <w:rsid w:val="00945D49"/>
    <w:rsid w:val="00946335"/>
    <w:rsid w:val="00954BA5"/>
    <w:rsid w:val="009612AE"/>
    <w:rsid w:val="00967B09"/>
    <w:rsid w:val="00971660"/>
    <w:rsid w:val="00984B7B"/>
    <w:rsid w:val="009973E1"/>
    <w:rsid w:val="009A26AA"/>
    <w:rsid w:val="009A2F57"/>
    <w:rsid w:val="009A77A9"/>
    <w:rsid w:val="009B7861"/>
    <w:rsid w:val="009D4FA3"/>
    <w:rsid w:val="009F6F7E"/>
    <w:rsid w:val="00A003AB"/>
    <w:rsid w:val="00A00D3B"/>
    <w:rsid w:val="00A04492"/>
    <w:rsid w:val="00A06A49"/>
    <w:rsid w:val="00A139DE"/>
    <w:rsid w:val="00A14037"/>
    <w:rsid w:val="00A32B92"/>
    <w:rsid w:val="00A344FA"/>
    <w:rsid w:val="00A34E88"/>
    <w:rsid w:val="00A472D7"/>
    <w:rsid w:val="00A5329F"/>
    <w:rsid w:val="00A532D9"/>
    <w:rsid w:val="00A567D0"/>
    <w:rsid w:val="00A61462"/>
    <w:rsid w:val="00A6216D"/>
    <w:rsid w:val="00A6452C"/>
    <w:rsid w:val="00A64D0B"/>
    <w:rsid w:val="00A67A55"/>
    <w:rsid w:val="00A7018F"/>
    <w:rsid w:val="00A77194"/>
    <w:rsid w:val="00AA17C7"/>
    <w:rsid w:val="00AA5620"/>
    <w:rsid w:val="00AC4CC9"/>
    <w:rsid w:val="00AE6CAD"/>
    <w:rsid w:val="00AE6DB0"/>
    <w:rsid w:val="00AF6A9E"/>
    <w:rsid w:val="00B127C1"/>
    <w:rsid w:val="00B231C8"/>
    <w:rsid w:val="00B24FD8"/>
    <w:rsid w:val="00B25236"/>
    <w:rsid w:val="00B2603F"/>
    <w:rsid w:val="00B31E70"/>
    <w:rsid w:val="00B70264"/>
    <w:rsid w:val="00B76350"/>
    <w:rsid w:val="00B76687"/>
    <w:rsid w:val="00B7775D"/>
    <w:rsid w:val="00B94328"/>
    <w:rsid w:val="00B96A14"/>
    <w:rsid w:val="00B96F66"/>
    <w:rsid w:val="00B97A5B"/>
    <w:rsid w:val="00BA0509"/>
    <w:rsid w:val="00BA33E5"/>
    <w:rsid w:val="00BA616F"/>
    <w:rsid w:val="00BB2037"/>
    <w:rsid w:val="00BB5488"/>
    <w:rsid w:val="00BC107B"/>
    <w:rsid w:val="00BC373F"/>
    <w:rsid w:val="00BC3F17"/>
    <w:rsid w:val="00BC6B54"/>
    <w:rsid w:val="00BD42D7"/>
    <w:rsid w:val="00BE3244"/>
    <w:rsid w:val="00BF0ECC"/>
    <w:rsid w:val="00BF1263"/>
    <w:rsid w:val="00BF19B8"/>
    <w:rsid w:val="00BF23BA"/>
    <w:rsid w:val="00BF3877"/>
    <w:rsid w:val="00C2091F"/>
    <w:rsid w:val="00C32B1F"/>
    <w:rsid w:val="00C4293F"/>
    <w:rsid w:val="00C45294"/>
    <w:rsid w:val="00C50695"/>
    <w:rsid w:val="00C5298A"/>
    <w:rsid w:val="00C54944"/>
    <w:rsid w:val="00C6114F"/>
    <w:rsid w:val="00C65853"/>
    <w:rsid w:val="00C9144A"/>
    <w:rsid w:val="00C93093"/>
    <w:rsid w:val="00CB0C50"/>
    <w:rsid w:val="00CB444D"/>
    <w:rsid w:val="00CE6609"/>
    <w:rsid w:val="00CF7395"/>
    <w:rsid w:val="00D000E0"/>
    <w:rsid w:val="00D132FD"/>
    <w:rsid w:val="00D16ABF"/>
    <w:rsid w:val="00D1796A"/>
    <w:rsid w:val="00D20FBA"/>
    <w:rsid w:val="00D265E6"/>
    <w:rsid w:val="00D27739"/>
    <w:rsid w:val="00D31483"/>
    <w:rsid w:val="00D41DD7"/>
    <w:rsid w:val="00D5034C"/>
    <w:rsid w:val="00D521B5"/>
    <w:rsid w:val="00D65D2C"/>
    <w:rsid w:val="00D74B88"/>
    <w:rsid w:val="00D75335"/>
    <w:rsid w:val="00D84619"/>
    <w:rsid w:val="00D85397"/>
    <w:rsid w:val="00D869B5"/>
    <w:rsid w:val="00D92BC0"/>
    <w:rsid w:val="00D95DCE"/>
    <w:rsid w:val="00DA0DE3"/>
    <w:rsid w:val="00DA2031"/>
    <w:rsid w:val="00DA5E77"/>
    <w:rsid w:val="00DA789A"/>
    <w:rsid w:val="00DB5955"/>
    <w:rsid w:val="00DD2AE9"/>
    <w:rsid w:val="00DE0293"/>
    <w:rsid w:val="00DE0BB0"/>
    <w:rsid w:val="00DE5D07"/>
    <w:rsid w:val="00E10790"/>
    <w:rsid w:val="00E14E13"/>
    <w:rsid w:val="00E178FA"/>
    <w:rsid w:val="00E26A5F"/>
    <w:rsid w:val="00E40509"/>
    <w:rsid w:val="00E4524C"/>
    <w:rsid w:val="00E50E74"/>
    <w:rsid w:val="00E579DE"/>
    <w:rsid w:val="00E804BA"/>
    <w:rsid w:val="00E86129"/>
    <w:rsid w:val="00E87666"/>
    <w:rsid w:val="00E97D93"/>
    <w:rsid w:val="00EA3802"/>
    <w:rsid w:val="00EA5E86"/>
    <w:rsid w:val="00EB215F"/>
    <w:rsid w:val="00EC139F"/>
    <w:rsid w:val="00ED0872"/>
    <w:rsid w:val="00ED5874"/>
    <w:rsid w:val="00EE469F"/>
    <w:rsid w:val="00EE7C29"/>
    <w:rsid w:val="00EF6A57"/>
    <w:rsid w:val="00F064AA"/>
    <w:rsid w:val="00F17AB1"/>
    <w:rsid w:val="00F23F1D"/>
    <w:rsid w:val="00F25A19"/>
    <w:rsid w:val="00F3124B"/>
    <w:rsid w:val="00F545DD"/>
    <w:rsid w:val="00F57B5E"/>
    <w:rsid w:val="00F6122C"/>
    <w:rsid w:val="00F613B3"/>
    <w:rsid w:val="00F81727"/>
    <w:rsid w:val="00F825DA"/>
    <w:rsid w:val="00F93805"/>
    <w:rsid w:val="00F9412F"/>
    <w:rsid w:val="00F970D1"/>
    <w:rsid w:val="00FA2713"/>
    <w:rsid w:val="00FA4E30"/>
    <w:rsid w:val="00FB0595"/>
    <w:rsid w:val="00FC7686"/>
    <w:rsid w:val="00FC7BEB"/>
    <w:rsid w:val="00FD206F"/>
    <w:rsid w:val="00FD44E5"/>
    <w:rsid w:val="00FF4971"/>
    <w:rsid w:val="10E62E3E"/>
    <w:rsid w:val="1AAC3ABD"/>
    <w:rsid w:val="221467FC"/>
    <w:rsid w:val="6D87083A"/>
    <w:rsid w:val="7F9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BE156"/>
  <w15:docId w15:val="{A88F4BBD-4584-4D1D-AC6A-681F253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adjustRightInd w:val="0"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widowControl w:val="0"/>
      <w:adjustRightInd w:val="0"/>
      <w:spacing w:line="360" w:lineRule="atLeast"/>
      <w:ind w:left="600" w:hanging="600"/>
      <w:textAlignment w:val="baseline"/>
    </w:pPr>
    <w:rPr>
      <w:rFonts w:ascii="Bookman Old Style" w:hAnsi="Bookman Old Style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22">
    <w:name w:val="正文文本缩进 2 字符"/>
    <w:link w:val="21"/>
    <w:qFormat/>
    <w:rPr>
      <w:rFonts w:ascii="Bookman Old Style" w:eastAsia="宋体" w:hAnsi="Bookman Old Style" w:cs="Times New Roman"/>
      <w:kern w:val="0"/>
      <w:sz w:val="28"/>
      <w:szCs w:val="20"/>
    </w:rPr>
  </w:style>
  <w:style w:type="character" w:customStyle="1" w:styleId="a6">
    <w:name w:val="正文文本 字符"/>
    <w:link w:val="a5"/>
    <w:uiPriority w:val="99"/>
    <w:qFormat/>
    <w:rPr>
      <w:rFonts w:ascii="Times New Roman" w:hAnsi="Times New Roman"/>
    </w:rPr>
  </w:style>
  <w:style w:type="paragraph" w:customStyle="1" w:styleId="Char">
    <w:name w:val="Char"/>
    <w:basedOn w:val="a"/>
    <w:autoRedefine/>
    <w:qFormat/>
    <w:pPr>
      <w:spacing w:line="400" w:lineRule="exact"/>
      <w:jc w:val="center"/>
    </w:pPr>
    <w:rPr>
      <w:rFonts w:ascii="Verdana" w:hAnsi="Verdana"/>
      <w:sz w:val="21"/>
      <w:lang w:eastAsia="en-US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</w:rPr>
  </w:style>
  <w:style w:type="character" w:customStyle="1" w:styleId="af1">
    <w:name w:val="批注主题 字符"/>
    <w:link w:val="af0"/>
    <w:uiPriority w:val="99"/>
    <w:semiHidden/>
    <w:qFormat/>
    <w:rPr>
      <w:rFonts w:ascii="Times New Roman" w:hAnsi="Times New Roman"/>
      <w:b/>
      <w:bCs/>
    </w:rPr>
  </w:style>
  <w:style w:type="character" w:customStyle="1" w:styleId="a8">
    <w:name w:val="日期 字符"/>
    <w:link w:val="a7"/>
    <w:uiPriority w:val="99"/>
    <w:semiHidden/>
    <w:qFormat/>
    <w:rPr>
      <w:rFonts w:ascii="Times New Roman" w:hAnsi="Times New Roman"/>
    </w:rPr>
  </w:style>
  <w:style w:type="paragraph" w:customStyle="1" w:styleId="11">
    <w:name w:val="列出段落1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paragraph" w:customStyle="1" w:styleId="HKM">
    <w:name w:val="HKM标题"/>
    <w:basedOn w:val="1"/>
    <w:qFormat/>
    <w:pPr>
      <w:keepNext w:val="0"/>
      <w:keepLines w:val="0"/>
      <w:widowControl w:val="0"/>
      <w:numPr>
        <w:numId w:val="1"/>
      </w:numPr>
      <w:spacing w:before="0" w:after="0" w:line="360" w:lineRule="auto"/>
      <w:ind w:leftChars="-237" w:left="-3" w:right="28" w:hangingChars="151" w:hanging="424"/>
    </w:pPr>
    <w:rPr>
      <w:rFonts w:ascii="宋体" w:hAnsi="宋体"/>
      <w:bCs/>
      <w:sz w:val="28"/>
      <w:szCs w:val="28"/>
    </w:rPr>
  </w:style>
  <w:style w:type="paragraph" w:customStyle="1" w:styleId="12">
    <w:name w:val="列表段落1"/>
    <w:basedOn w:val="a"/>
    <w:uiPriority w:val="34"/>
    <w:qFormat/>
    <w:pPr>
      <w:ind w:firstLine="420"/>
    </w:pPr>
    <w:rPr>
      <w:rFonts w:ascii="宋体" w:hAnsi="宋体" w:cs="宋体"/>
      <w:sz w:val="24"/>
      <w:szCs w:val="24"/>
    </w:rPr>
  </w:style>
  <w:style w:type="character" w:customStyle="1" w:styleId="70">
    <w:name w:val="标题 7 字符"/>
    <w:link w:val="7"/>
    <w:uiPriority w:val="9"/>
    <w:semiHidden/>
    <w:qFormat/>
    <w:rPr>
      <w:rFonts w:ascii="Times New Roman" w:hAnsi="Times New Roman"/>
      <w:b/>
      <w:bCs/>
      <w:sz w:val="24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F1EC-04A6-4591-8779-CD589204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500</Words>
  <Characters>2850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张汝兵</dc:creator>
  <cp:lastModifiedBy>hui m</cp:lastModifiedBy>
  <cp:revision>4</cp:revision>
  <dcterms:created xsi:type="dcterms:W3CDTF">2024-08-23T09:39:00Z</dcterms:created>
  <dcterms:modified xsi:type="dcterms:W3CDTF">2024-08-23T09:53:00Z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FEC2F5D6FB1543D893C966B2987EEE53_13</vt:lpwstr>
  </property>
</Properties>
</file>